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2AEF0" w14:textId="77777777" w:rsidR="00FE2ED9" w:rsidRDefault="00BD6D27" w:rsidP="004A4D5E">
      <w:pPr>
        <w:pStyle w:val="Nagwek1"/>
      </w:pPr>
      <w:bookmarkStart w:id="0" w:name="_Toc441250814"/>
      <w:bookmarkStart w:id="1" w:name="_Toc530496910"/>
      <w:bookmarkStart w:id="2" w:name="_Toc12960631"/>
      <w:bookmarkStart w:id="3" w:name="_Toc30764011"/>
      <w:bookmarkStart w:id="4" w:name="General"/>
      <w:r>
        <w:t xml:space="preserve">ZAŁĄCZNIK </w:t>
      </w:r>
      <w:r w:rsidR="00E1142D">
        <w:t>I</w:t>
      </w:r>
      <w:bookmarkEnd w:id="0"/>
      <w:r w:rsidR="00E1142D">
        <w:t xml:space="preserve"> — </w:t>
      </w:r>
      <w:bookmarkStart w:id="5" w:name="_Toc441250815"/>
      <w:r w:rsidR="00E1142D">
        <w:t>WARUNKI OGÓLNE</w:t>
      </w:r>
      <w:bookmarkEnd w:id="1"/>
      <w:bookmarkEnd w:id="5"/>
      <w:bookmarkEnd w:id="2"/>
      <w:bookmarkEnd w:id="3"/>
    </w:p>
    <w:p w14:paraId="379E2706" w14:textId="77777777" w:rsidR="00C274D9" w:rsidRDefault="00C274D9" w:rsidP="00C274D9">
      <w:pPr>
        <w:pStyle w:val="Nagwek1"/>
      </w:pPr>
      <w:bookmarkStart w:id="6" w:name="_Toc530496911"/>
      <w:bookmarkStart w:id="7" w:name="_Toc12960632"/>
      <w:bookmarkStart w:id="8" w:name="_Toc30764012"/>
      <w:r>
        <w:t>Spis treści</w:t>
      </w:r>
      <w:bookmarkEnd w:id="6"/>
      <w:bookmarkEnd w:id="7"/>
      <w:bookmarkEnd w:id="8"/>
    </w:p>
    <w:p w14:paraId="494BD224" w14:textId="77777777" w:rsidR="00091568" w:rsidRDefault="00C274D9">
      <w:pPr>
        <w:pStyle w:val="Spistreci1"/>
        <w:rPr>
          <w:rFonts w:asciiTheme="minorHAnsi" w:eastAsiaTheme="minorEastAsia" w:hAnsiTheme="minorHAnsi" w:cstheme="minorBidi"/>
          <w:b w:val="0"/>
          <w:caps w:val="0"/>
          <w:noProof/>
          <w:sz w:val="22"/>
          <w:szCs w:val="22"/>
          <w:lang w:val="en-GB" w:eastAsia="en-GB" w:bidi="ar-SA"/>
        </w:rPr>
      </w:pPr>
      <w:r>
        <w:fldChar w:fldCharType="begin"/>
      </w:r>
      <w:r>
        <w:instrText xml:space="preserve"> TOC \o "1-3" \H \B General </w:instrText>
      </w:r>
      <w:r>
        <w:fldChar w:fldCharType="separate"/>
      </w:r>
      <w:hyperlink w:anchor="_Toc30764011" w:history="1">
        <w:r w:rsidR="00091568" w:rsidRPr="00D77C52">
          <w:rPr>
            <w:rStyle w:val="Hipercze"/>
            <w:noProof/>
          </w:rPr>
          <w:t>ZAŁĄCZNIK I — WARUNKI OGÓLNE</w:t>
        </w:r>
        <w:r w:rsidR="00091568">
          <w:rPr>
            <w:noProof/>
          </w:rPr>
          <w:tab/>
        </w:r>
        <w:r w:rsidR="00091568">
          <w:rPr>
            <w:noProof/>
          </w:rPr>
          <w:fldChar w:fldCharType="begin"/>
        </w:r>
        <w:r w:rsidR="00091568">
          <w:rPr>
            <w:noProof/>
          </w:rPr>
          <w:instrText xml:space="preserve"> PAGEREF _Toc30764011 \h </w:instrText>
        </w:r>
        <w:r w:rsidR="00091568">
          <w:rPr>
            <w:noProof/>
          </w:rPr>
        </w:r>
        <w:r w:rsidR="00091568">
          <w:rPr>
            <w:noProof/>
          </w:rPr>
          <w:fldChar w:fldCharType="separate"/>
        </w:r>
        <w:r w:rsidR="00091568">
          <w:rPr>
            <w:noProof/>
          </w:rPr>
          <w:t>1</w:t>
        </w:r>
        <w:r w:rsidR="00091568">
          <w:rPr>
            <w:noProof/>
          </w:rPr>
          <w:fldChar w:fldCharType="end"/>
        </w:r>
      </w:hyperlink>
    </w:p>
    <w:p w14:paraId="7CC99B6C" w14:textId="77777777" w:rsidR="00091568" w:rsidRDefault="003511EF">
      <w:pPr>
        <w:pStyle w:val="Spistreci1"/>
        <w:rPr>
          <w:rFonts w:asciiTheme="minorHAnsi" w:eastAsiaTheme="minorEastAsia" w:hAnsiTheme="minorHAnsi" w:cstheme="minorBidi"/>
          <w:b w:val="0"/>
          <w:caps w:val="0"/>
          <w:noProof/>
          <w:sz w:val="22"/>
          <w:szCs w:val="22"/>
          <w:lang w:val="en-GB" w:eastAsia="en-GB" w:bidi="ar-SA"/>
        </w:rPr>
      </w:pPr>
      <w:hyperlink w:anchor="_Toc30764012" w:history="1">
        <w:r w:rsidR="00091568" w:rsidRPr="00D77C52">
          <w:rPr>
            <w:rStyle w:val="Hipercze"/>
            <w:noProof/>
          </w:rPr>
          <w:t>Spis treści</w:t>
        </w:r>
        <w:r w:rsidR="00091568">
          <w:rPr>
            <w:noProof/>
          </w:rPr>
          <w:tab/>
        </w:r>
        <w:r w:rsidR="00091568">
          <w:rPr>
            <w:noProof/>
          </w:rPr>
          <w:fldChar w:fldCharType="begin"/>
        </w:r>
        <w:r w:rsidR="00091568">
          <w:rPr>
            <w:noProof/>
          </w:rPr>
          <w:instrText xml:space="preserve"> PAGEREF _Toc30764012 \h </w:instrText>
        </w:r>
        <w:r w:rsidR="00091568">
          <w:rPr>
            <w:noProof/>
          </w:rPr>
        </w:r>
        <w:r w:rsidR="00091568">
          <w:rPr>
            <w:noProof/>
          </w:rPr>
          <w:fldChar w:fldCharType="separate"/>
        </w:r>
        <w:r w:rsidR="00091568">
          <w:rPr>
            <w:noProof/>
          </w:rPr>
          <w:t>1</w:t>
        </w:r>
        <w:r w:rsidR="00091568">
          <w:rPr>
            <w:noProof/>
          </w:rPr>
          <w:fldChar w:fldCharType="end"/>
        </w:r>
      </w:hyperlink>
    </w:p>
    <w:p w14:paraId="5D5C7119" w14:textId="77777777" w:rsidR="00091568" w:rsidRDefault="003511EF">
      <w:pPr>
        <w:pStyle w:val="Spistreci1"/>
        <w:rPr>
          <w:rFonts w:asciiTheme="minorHAnsi" w:eastAsiaTheme="minorEastAsia" w:hAnsiTheme="minorHAnsi" w:cstheme="minorBidi"/>
          <w:b w:val="0"/>
          <w:caps w:val="0"/>
          <w:noProof/>
          <w:sz w:val="22"/>
          <w:szCs w:val="22"/>
          <w:lang w:val="en-GB" w:eastAsia="en-GB" w:bidi="ar-SA"/>
        </w:rPr>
      </w:pPr>
      <w:hyperlink w:anchor="_Toc30764013" w:history="1">
        <w:r w:rsidR="00091568" w:rsidRPr="00D77C52">
          <w:rPr>
            <w:rStyle w:val="Hipercze"/>
            <w:noProof/>
          </w:rPr>
          <w:t>CZĘŚĆ A – POSTANOWIENIA PRAWNE I ADMINISTRACYJNE</w:t>
        </w:r>
        <w:r w:rsidR="00091568">
          <w:rPr>
            <w:noProof/>
          </w:rPr>
          <w:tab/>
        </w:r>
        <w:r w:rsidR="00091568">
          <w:rPr>
            <w:noProof/>
          </w:rPr>
          <w:fldChar w:fldCharType="begin"/>
        </w:r>
        <w:r w:rsidR="00091568">
          <w:rPr>
            <w:noProof/>
          </w:rPr>
          <w:instrText xml:space="preserve"> PAGEREF _Toc30764013 \h </w:instrText>
        </w:r>
        <w:r w:rsidR="00091568">
          <w:rPr>
            <w:noProof/>
          </w:rPr>
        </w:r>
        <w:r w:rsidR="00091568">
          <w:rPr>
            <w:noProof/>
          </w:rPr>
          <w:fldChar w:fldCharType="separate"/>
        </w:r>
        <w:r w:rsidR="00091568">
          <w:rPr>
            <w:noProof/>
          </w:rPr>
          <w:t>5</w:t>
        </w:r>
        <w:r w:rsidR="00091568">
          <w:rPr>
            <w:noProof/>
          </w:rPr>
          <w:fldChar w:fldCharType="end"/>
        </w:r>
      </w:hyperlink>
    </w:p>
    <w:p w14:paraId="3E6BB774" w14:textId="77777777" w:rsidR="00091568" w:rsidRDefault="003511EF">
      <w:pPr>
        <w:pStyle w:val="Spistreci2"/>
        <w:rPr>
          <w:rFonts w:asciiTheme="minorHAnsi" w:eastAsiaTheme="minorEastAsia" w:hAnsiTheme="minorHAnsi" w:cstheme="minorBidi"/>
          <w:noProof/>
          <w:sz w:val="22"/>
          <w:szCs w:val="22"/>
          <w:lang w:val="en-GB" w:eastAsia="en-GB" w:bidi="ar-SA"/>
        </w:rPr>
      </w:pPr>
      <w:hyperlink w:anchor="_Toc30764014" w:history="1">
        <w:r w:rsidR="00091568" w:rsidRPr="00D77C52">
          <w:rPr>
            <w:rStyle w:val="Hipercze"/>
            <w:noProof/>
          </w:rPr>
          <w:t>Artykuł II.1 – Definicje</w:t>
        </w:r>
        <w:r w:rsidR="00091568">
          <w:rPr>
            <w:noProof/>
          </w:rPr>
          <w:tab/>
        </w:r>
        <w:r w:rsidR="00091568">
          <w:rPr>
            <w:noProof/>
          </w:rPr>
          <w:fldChar w:fldCharType="begin"/>
        </w:r>
        <w:r w:rsidR="00091568">
          <w:rPr>
            <w:noProof/>
          </w:rPr>
          <w:instrText xml:space="preserve"> PAGEREF _Toc30764014 \h </w:instrText>
        </w:r>
        <w:r w:rsidR="00091568">
          <w:rPr>
            <w:noProof/>
          </w:rPr>
        </w:r>
        <w:r w:rsidR="00091568">
          <w:rPr>
            <w:noProof/>
          </w:rPr>
          <w:fldChar w:fldCharType="separate"/>
        </w:r>
        <w:r w:rsidR="00091568">
          <w:rPr>
            <w:noProof/>
          </w:rPr>
          <w:t>5</w:t>
        </w:r>
        <w:r w:rsidR="00091568">
          <w:rPr>
            <w:noProof/>
          </w:rPr>
          <w:fldChar w:fldCharType="end"/>
        </w:r>
      </w:hyperlink>
    </w:p>
    <w:p w14:paraId="4569C225" w14:textId="77777777" w:rsidR="00091568" w:rsidRDefault="003511EF">
      <w:pPr>
        <w:pStyle w:val="Spistreci2"/>
        <w:rPr>
          <w:rFonts w:asciiTheme="minorHAnsi" w:eastAsiaTheme="minorEastAsia" w:hAnsiTheme="minorHAnsi" w:cstheme="minorBidi"/>
          <w:noProof/>
          <w:sz w:val="22"/>
          <w:szCs w:val="22"/>
          <w:lang w:val="en-GB" w:eastAsia="en-GB" w:bidi="ar-SA"/>
        </w:rPr>
      </w:pPr>
      <w:hyperlink w:anchor="_Toc30764015" w:history="1">
        <w:r w:rsidR="00091568" w:rsidRPr="00D77C52">
          <w:rPr>
            <w:rStyle w:val="Hipercze"/>
            <w:noProof/>
          </w:rPr>
          <w:t>Artykuł II.2 – Obowiązki ogólne i rola beneficjentów</w:t>
        </w:r>
        <w:r w:rsidR="00091568">
          <w:rPr>
            <w:noProof/>
          </w:rPr>
          <w:tab/>
        </w:r>
        <w:r w:rsidR="00091568">
          <w:rPr>
            <w:noProof/>
          </w:rPr>
          <w:fldChar w:fldCharType="begin"/>
        </w:r>
        <w:r w:rsidR="00091568">
          <w:rPr>
            <w:noProof/>
          </w:rPr>
          <w:instrText xml:space="preserve"> PAGEREF _Toc30764015 \h </w:instrText>
        </w:r>
        <w:r w:rsidR="00091568">
          <w:rPr>
            <w:noProof/>
          </w:rPr>
        </w:r>
        <w:r w:rsidR="00091568">
          <w:rPr>
            <w:noProof/>
          </w:rPr>
          <w:fldChar w:fldCharType="separate"/>
        </w:r>
        <w:r w:rsidR="00091568">
          <w:rPr>
            <w:noProof/>
          </w:rPr>
          <w:t>6</w:t>
        </w:r>
        <w:r w:rsidR="00091568">
          <w:rPr>
            <w:noProof/>
          </w:rPr>
          <w:fldChar w:fldCharType="end"/>
        </w:r>
      </w:hyperlink>
    </w:p>
    <w:p w14:paraId="0549D997" w14:textId="77777777" w:rsidR="00091568" w:rsidRDefault="003511EF">
      <w:pPr>
        <w:pStyle w:val="Spistreci3"/>
        <w:tabs>
          <w:tab w:val="left" w:pos="1916"/>
        </w:tabs>
        <w:rPr>
          <w:rFonts w:asciiTheme="minorHAnsi" w:eastAsiaTheme="minorEastAsia" w:hAnsiTheme="minorHAnsi" w:cstheme="minorBidi"/>
          <w:noProof/>
          <w:sz w:val="22"/>
          <w:szCs w:val="22"/>
          <w:lang w:val="en-GB" w:eastAsia="en-GB" w:bidi="ar-SA"/>
        </w:rPr>
      </w:pPr>
      <w:hyperlink w:anchor="_Toc30764016" w:history="1">
        <w:r w:rsidR="00091568" w:rsidRPr="00D77C52">
          <w:rPr>
            <w:rStyle w:val="Hipercze"/>
            <w:noProof/>
          </w:rPr>
          <w:t>II.2.1</w:t>
        </w:r>
        <w:r w:rsidR="00091568">
          <w:rPr>
            <w:rFonts w:asciiTheme="minorHAnsi" w:eastAsiaTheme="minorEastAsia" w:hAnsiTheme="minorHAnsi" w:cstheme="minorBidi"/>
            <w:noProof/>
            <w:sz w:val="22"/>
            <w:szCs w:val="22"/>
            <w:lang w:val="en-GB" w:eastAsia="en-GB" w:bidi="ar-SA"/>
          </w:rPr>
          <w:tab/>
        </w:r>
        <w:r w:rsidR="00091568" w:rsidRPr="00D77C52">
          <w:rPr>
            <w:rStyle w:val="Hipercze"/>
            <w:noProof/>
          </w:rPr>
          <w:t>Obowiązki ogólne i rola beneficjentów</w:t>
        </w:r>
        <w:r w:rsidR="00091568">
          <w:rPr>
            <w:noProof/>
          </w:rPr>
          <w:tab/>
        </w:r>
        <w:r w:rsidR="00091568">
          <w:rPr>
            <w:noProof/>
          </w:rPr>
          <w:fldChar w:fldCharType="begin"/>
        </w:r>
        <w:r w:rsidR="00091568">
          <w:rPr>
            <w:noProof/>
          </w:rPr>
          <w:instrText xml:space="preserve"> PAGEREF _Toc30764016 \h </w:instrText>
        </w:r>
        <w:r w:rsidR="00091568">
          <w:rPr>
            <w:noProof/>
          </w:rPr>
        </w:r>
        <w:r w:rsidR="00091568">
          <w:rPr>
            <w:noProof/>
          </w:rPr>
          <w:fldChar w:fldCharType="separate"/>
        </w:r>
        <w:r w:rsidR="00091568">
          <w:rPr>
            <w:noProof/>
          </w:rPr>
          <w:t>6</w:t>
        </w:r>
        <w:r w:rsidR="00091568">
          <w:rPr>
            <w:noProof/>
          </w:rPr>
          <w:fldChar w:fldCharType="end"/>
        </w:r>
      </w:hyperlink>
    </w:p>
    <w:p w14:paraId="7D2D28A7" w14:textId="77777777" w:rsidR="00091568" w:rsidRDefault="003511EF">
      <w:pPr>
        <w:pStyle w:val="Spistreci3"/>
        <w:tabs>
          <w:tab w:val="left" w:pos="1916"/>
        </w:tabs>
        <w:rPr>
          <w:rFonts w:asciiTheme="minorHAnsi" w:eastAsiaTheme="minorEastAsia" w:hAnsiTheme="minorHAnsi" w:cstheme="minorBidi"/>
          <w:noProof/>
          <w:sz w:val="22"/>
          <w:szCs w:val="22"/>
          <w:lang w:val="en-GB" w:eastAsia="en-GB" w:bidi="ar-SA"/>
        </w:rPr>
      </w:pPr>
      <w:hyperlink w:anchor="_Toc30764017" w:history="1">
        <w:r w:rsidR="00091568" w:rsidRPr="00D77C52">
          <w:rPr>
            <w:rStyle w:val="Hipercze"/>
            <w:noProof/>
          </w:rPr>
          <w:t>II.2.2</w:t>
        </w:r>
        <w:r w:rsidR="00091568">
          <w:rPr>
            <w:rFonts w:asciiTheme="minorHAnsi" w:eastAsiaTheme="minorEastAsia" w:hAnsiTheme="minorHAnsi" w:cstheme="minorBidi"/>
            <w:noProof/>
            <w:sz w:val="22"/>
            <w:szCs w:val="22"/>
            <w:lang w:val="en-GB" w:eastAsia="en-GB" w:bidi="ar-SA"/>
          </w:rPr>
          <w:tab/>
        </w:r>
        <w:r w:rsidR="00091568" w:rsidRPr="00D77C52">
          <w:rPr>
            <w:rStyle w:val="Hipercze"/>
            <w:noProof/>
          </w:rPr>
          <w:t>Obowiązki ogólne i rola każdego beneficjenta</w:t>
        </w:r>
        <w:r w:rsidR="00091568">
          <w:rPr>
            <w:noProof/>
          </w:rPr>
          <w:tab/>
        </w:r>
        <w:r w:rsidR="00091568">
          <w:rPr>
            <w:noProof/>
          </w:rPr>
          <w:fldChar w:fldCharType="begin"/>
        </w:r>
        <w:r w:rsidR="00091568">
          <w:rPr>
            <w:noProof/>
          </w:rPr>
          <w:instrText xml:space="preserve"> PAGEREF _Toc30764017 \h </w:instrText>
        </w:r>
        <w:r w:rsidR="00091568">
          <w:rPr>
            <w:noProof/>
          </w:rPr>
        </w:r>
        <w:r w:rsidR="00091568">
          <w:rPr>
            <w:noProof/>
          </w:rPr>
          <w:fldChar w:fldCharType="separate"/>
        </w:r>
        <w:r w:rsidR="00091568">
          <w:rPr>
            <w:noProof/>
          </w:rPr>
          <w:t>7</w:t>
        </w:r>
        <w:r w:rsidR="00091568">
          <w:rPr>
            <w:noProof/>
          </w:rPr>
          <w:fldChar w:fldCharType="end"/>
        </w:r>
      </w:hyperlink>
    </w:p>
    <w:p w14:paraId="487D94B7" w14:textId="77777777" w:rsidR="00091568" w:rsidRDefault="003511EF">
      <w:pPr>
        <w:pStyle w:val="Spistreci3"/>
        <w:tabs>
          <w:tab w:val="left" w:pos="1916"/>
        </w:tabs>
        <w:rPr>
          <w:rFonts w:asciiTheme="minorHAnsi" w:eastAsiaTheme="minorEastAsia" w:hAnsiTheme="minorHAnsi" w:cstheme="minorBidi"/>
          <w:noProof/>
          <w:sz w:val="22"/>
          <w:szCs w:val="22"/>
          <w:lang w:val="en-GB" w:eastAsia="en-GB" w:bidi="ar-SA"/>
        </w:rPr>
      </w:pPr>
      <w:hyperlink w:anchor="_Toc30764018" w:history="1">
        <w:r w:rsidR="00091568" w:rsidRPr="00D77C52">
          <w:rPr>
            <w:rStyle w:val="Hipercze"/>
            <w:noProof/>
          </w:rPr>
          <w:t>II.2.3</w:t>
        </w:r>
        <w:r w:rsidR="00091568">
          <w:rPr>
            <w:rFonts w:asciiTheme="minorHAnsi" w:eastAsiaTheme="minorEastAsia" w:hAnsiTheme="minorHAnsi" w:cstheme="minorBidi"/>
            <w:noProof/>
            <w:sz w:val="22"/>
            <w:szCs w:val="22"/>
            <w:lang w:val="en-GB" w:eastAsia="en-GB" w:bidi="ar-SA"/>
          </w:rPr>
          <w:tab/>
        </w:r>
        <w:r w:rsidR="00091568" w:rsidRPr="00D77C52">
          <w:rPr>
            <w:rStyle w:val="Hipercze"/>
            <w:noProof/>
          </w:rPr>
          <w:t>Obowiązki ogólne i rola koordynatora</w:t>
        </w:r>
        <w:r w:rsidR="00091568">
          <w:rPr>
            <w:noProof/>
          </w:rPr>
          <w:tab/>
        </w:r>
        <w:r w:rsidR="00091568">
          <w:rPr>
            <w:noProof/>
          </w:rPr>
          <w:fldChar w:fldCharType="begin"/>
        </w:r>
        <w:r w:rsidR="00091568">
          <w:rPr>
            <w:noProof/>
          </w:rPr>
          <w:instrText xml:space="preserve"> PAGEREF _Toc30764018 \h </w:instrText>
        </w:r>
        <w:r w:rsidR="00091568">
          <w:rPr>
            <w:noProof/>
          </w:rPr>
        </w:r>
        <w:r w:rsidR="00091568">
          <w:rPr>
            <w:noProof/>
          </w:rPr>
          <w:fldChar w:fldCharType="separate"/>
        </w:r>
        <w:r w:rsidR="00091568">
          <w:rPr>
            <w:noProof/>
          </w:rPr>
          <w:t>7</w:t>
        </w:r>
        <w:r w:rsidR="00091568">
          <w:rPr>
            <w:noProof/>
          </w:rPr>
          <w:fldChar w:fldCharType="end"/>
        </w:r>
      </w:hyperlink>
    </w:p>
    <w:p w14:paraId="14BF08AD" w14:textId="77777777" w:rsidR="00091568" w:rsidRDefault="003511EF">
      <w:pPr>
        <w:pStyle w:val="Spistreci2"/>
        <w:rPr>
          <w:rFonts w:asciiTheme="minorHAnsi" w:eastAsiaTheme="minorEastAsia" w:hAnsiTheme="minorHAnsi" w:cstheme="minorBidi"/>
          <w:noProof/>
          <w:sz w:val="22"/>
          <w:szCs w:val="22"/>
          <w:lang w:val="en-GB" w:eastAsia="en-GB" w:bidi="ar-SA"/>
        </w:rPr>
      </w:pPr>
      <w:hyperlink w:anchor="_Toc30764019" w:history="1">
        <w:r w:rsidR="00091568" w:rsidRPr="00D77C52">
          <w:rPr>
            <w:rStyle w:val="Hipercze"/>
            <w:noProof/>
          </w:rPr>
          <w:t>Artykuł II.3 – Komunikacja między stronami</w:t>
        </w:r>
        <w:r w:rsidR="00091568">
          <w:rPr>
            <w:noProof/>
          </w:rPr>
          <w:tab/>
        </w:r>
        <w:r w:rsidR="00091568">
          <w:rPr>
            <w:noProof/>
          </w:rPr>
          <w:fldChar w:fldCharType="begin"/>
        </w:r>
        <w:r w:rsidR="00091568">
          <w:rPr>
            <w:noProof/>
          </w:rPr>
          <w:instrText xml:space="preserve"> PAGEREF _Toc30764019 \h </w:instrText>
        </w:r>
        <w:r w:rsidR="00091568">
          <w:rPr>
            <w:noProof/>
          </w:rPr>
        </w:r>
        <w:r w:rsidR="00091568">
          <w:rPr>
            <w:noProof/>
          </w:rPr>
          <w:fldChar w:fldCharType="separate"/>
        </w:r>
        <w:r w:rsidR="00091568">
          <w:rPr>
            <w:noProof/>
          </w:rPr>
          <w:t>8</w:t>
        </w:r>
        <w:r w:rsidR="00091568">
          <w:rPr>
            <w:noProof/>
          </w:rPr>
          <w:fldChar w:fldCharType="end"/>
        </w:r>
      </w:hyperlink>
    </w:p>
    <w:p w14:paraId="7FBC804D" w14:textId="77777777" w:rsidR="00091568" w:rsidRDefault="003511EF">
      <w:pPr>
        <w:pStyle w:val="Spistreci3"/>
        <w:tabs>
          <w:tab w:val="left" w:pos="1916"/>
        </w:tabs>
        <w:rPr>
          <w:rFonts w:asciiTheme="minorHAnsi" w:eastAsiaTheme="minorEastAsia" w:hAnsiTheme="minorHAnsi" w:cstheme="minorBidi"/>
          <w:noProof/>
          <w:sz w:val="22"/>
          <w:szCs w:val="22"/>
          <w:lang w:val="en-GB" w:eastAsia="en-GB" w:bidi="ar-SA"/>
        </w:rPr>
      </w:pPr>
      <w:hyperlink w:anchor="_Toc30764020" w:history="1">
        <w:r w:rsidR="00091568" w:rsidRPr="00D77C52">
          <w:rPr>
            <w:rStyle w:val="Hipercze"/>
            <w:noProof/>
          </w:rPr>
          <w:t>II.3.1</w:t>
        </w:r>
        <w:r w:rsidR="00091568">
          <w:rPr>
            <w:rFonts w:asciiTheme="minorHAnsi" w:eastAsiaTheme="minorEastAsia" w:hAnsiTheme="minorHAnsi" w:cstheme="minorBidi"/>
            <w:noProof/>
            <w:sz w:val="22"/>
            <w:szCs w:val="22"/>
            <w:lang w:val="en-GB" w:eastAsia="en-GB" w:bidi="ar-SA"/>
          </w:rPr>
          <w:tab/>
        </w:r>
        <w:r w:rsidR="00091568" w:rsidRPr="00D77C52">
          <w:rPr>
            <w:rStyle w:val="Hipercze"/>
            <w:noProof/>
          </w:rPr>
          <w:t>Forma i środki komunikacji</w:t>
        </w:r>
        <w:r w:rsidR="00091568">
          <w:rPr>
            <w:noProof/>
          </w:rPr>
          <w:tab/>
        </w:r>
        <w:r w:rsidR="00091568">
          <w:rPr>
            <w:noProof/>
          </w:rPr>
          <w:fldChar w:fldCharType="begin"/>
        </w:r>
        <w:r w:rsidR="00091568">
          <w:rPr>
            <w:noProof/>
          </w:rPr>
          <w:instrText xml:space="preserve"> PAGEREF _Toc30764020 \h </w:instrText>
        </w:r>
        <w:r w:rsidR="00091568">
          <w:rPr>
            <w:noProof/>
          </w:rPr>
        </w:r>
        <w:r w:rsidR="00091568">
          <w:rPr>
            <w:noProof/>
          </w:rPr>
          <w:fldChar w:fldCharType="separate"/>
        </w:r>
        <w:r w:rsidR="00091568">
          <w:rPr>
            <w:noProof/>
          </w:rPr>
          <w:t>8</w:t>
        </w:r>
        <w:r w:rsidR="00091568">
          <w:rPr>
            <w:noProof/>
          </w:rPr>
          <w:fldChar w:fldCharType="end"/>
        </w:r>
      </w:hyperlink>
    </w:p>
    <w:p w14:paraId="7D9317A9" w14:textId="77777777" w:rsidR="00091568" w:rsidRDefault="003511EF">
      <w:pPr>
        <w:pStyle w:val="Spistreci3"/>
        <w:tabs>
          <w:tab w:val="left" w:pos="1916"/>
        </w:tabs>
        <w:rPr>
          <w:rFonts w:asciiTheme="minorHAnsi" w:eastAsiaTheme="minorEastAsia" w:hAnsiTheme="minorHAnsi" w:cstheme="minorBidi"/>
          <w:noProof/>
          <w:sz w:val="22"/>
          <w:szCs w:val="22"/>
          <w:lang w:val="en-GB" w:eastAsia="en-GB" w:bidi="ar-SA"/>
        </w:rPr>
      </w:pPr>
      <w:hyperlink w:anchor="_Toc30764021" w:history="1">
        <w:r w:rsidR="00091568" w:rsidRPr="00D77C52">
          <w:rPr>
            <w:rStyle w:val="Hipercze"/>
            <w:noProof/>
          </w:rPr>
          <w:t>II.3.2</w:t>
        </w:r>
        <w:r w:rsidR="00091568">
          <w:rPr>
            <w:rFonts w:asciiTheme="minorHAnsi" w:eastAsiaTheme="minorEastAsia" w:hAnsiTheme="minorHAnsi" w:cstheme="minorBidi"/>
            <w:noProof/>
            <w:sz w:val="22"/>
            <w:szCs w:val="22"/>
            <w:lang w:val="en-GB" w:eastAsia="en-GB" w:bidi="ar-SA"/>
          </w:rPr>
          <w:tab/>
        </w:r>
        <w:r w:rsidR="00091568" w:rsidRPr="00D77C52">
          <w:rPr>
            <w:rStyle w:val="Hipercze"/>
            <w:noProof/>
          </w:rPr>
          <w:t>Data przekazania informacji</w:t>
        </w:r>
        <w:r w:rsidR="00091568">
          <w:rPr>
            <w:noProof/>
          </w:rPr>
          <w:tab/>
        </w:r>
        <w:r w:rsidR="00091568">
          <w:rPr>
            <w:noProof/>
          </w:rPr>
          <w:fldChar w:fldCharType="begin"/>
        </w:r>
        <w:r w:rsidR="00091568">
          <w:rPr>
            <w:noProof/>
          </w:rPr>
          <w:instrText xml:space="preserve"> PAGEREF _Toc30764021 \h </w:instrText>
        </w:r>
        <w:r w:rsidR="00091568">
          <w:rPr>
            <w:noProof/>
          </w:rPr>
        </w:r>
        <w:r w:rsidR="00091568">
          <w:rPr>
            <w:noProof/>
          </w:rPr>
          <w:fldChar w:fldCharType="separate"/>
        </w:r>
        <w:r w:rsidR="00091568">
          <w:rPr>
            <w:noProof/>
          </w:rPr>
          <w:t>8</w:t>
        </w:r>
        <w:r w:rsidR="00091568">
          <w:rPr>
            <w:noProof/>
          </w:rPr>
          <w:fldChar w:fldCharType="end"/>
        </w:r>
      </w:hyperlink>
    </w:p>
    <w:p w14:paraId="0EFF9AD2" w14:textId="77777777" w:rsidR="00091568" w:rsidRDefault="003511EF">
      <w:pPr>
        <w:pStyle w:val="Spistreci2"/>
        <w:rPr>
          <w:rFonts w:asciiTheme="minorHAnsi" w:eastAsiaTheme="minorEastAsia" w:hAnsiTheme="minorHAnsi" w:cstheme="minorBidi"/>
          <w:noProof/>
          <w:sz w:val="22"/>
          <w:szCs w:val="22"/>
          <w:lang w:val="en-GB" w:eastAsia="en-GB" w:bidi="ar-SA"/>
        </w:rPr>
      </w:pPr>
      <w:hyperlink w:anchor="_Toc30764022" w:history="1">
        <w:r w:rsidR="00091568" w:rsidRPr="00D77C52">
          <w:rPr>
            <w:rStyle w:val="Hipercze"/>
            <w:noProof/>
          </w:rPr>
          <w:t>Artykuł II.4 – Odpowiedzialność za szkody</w:t>
        </w:r>
        <w:r w:rsidR="00091568">
          <w:rPr>
            <w:noProof/>
          </w:rPr>
          <w:tab/>
        </w:r>
        <w:r w:rsidR="00091568">
          <w:rPr>
            <w:noProof/>
          </w:rPr>
          <w:fldChar w:fldCharType="begin"/>
        </w:r>
        <w:r w:rsidR="00091568">
          <w:rPr>
            <w:noProof/>
          </w:rPr>
          <w:instrText xml:space="preserve"> PAGEREF _Toc30764022 \h </w:instrText>
        </w:r>
        <w:r w:rsidR="00091568">
          <w:rPr>
            <w:noProof/>
          </w:rPr>
        </w:r>
        <w:r w:rsidR="00091568">
          <w:rPr>
            <w:noProof/>
          </w:rPr>
          <w:fldChar w:fldCharType="separate"/>
        </w:r>
        <w:r w:rsidR="00091568">
          <w:rPr>
            <w:noProof/>
          </w:rPr>
          <w:t>9</w:t>
        </w:r>
        <w:r w:rsidR="00091568">
          <w:rPr>
            <w:noProof/>
          </w:rPr>
          <w:fldChar w:fldCharType="end"/>
        </w:r>
      </w:hyperlink>
    </w:p>
    <w:p w14:paraId="7EE31778" w14:textId="77777777" w:rsidR="00091568" w:rsidRDefault="003511EF">
      <w:pPr>
        <w:pStyle w:val="Spistreci2"/>
        <w:rPr>
          <w:rFonts w:asciiTheme="minorHAnsi" w:eastAsiaTheme="minorEastAsia" w:hAnsiTheme="minorHAnsi" w:cstheme="minorBidi"/>
          <w:noProof/>
          <w:sz w:val="22"/>
          <w:szCs w:val="22"/>
          <w:lang w:val="en-GB" w:eastAsia="en-GB" w:bidi="ar-SA"/>
        </w:rPr>
      </w:pPr>
      <w:hyperlink w:anchor="_Toc30764023" w:history="1">
        <w:r w:rsidR="00091568" w:rsidRPr="00D77C52">
          <w:rPr>
            <w:rStyle w:val="Hipercze"/>
            <w:noProof/>
          </w:rPr>
          <w:t>Artykuł II.5 – Konflikt interesów</w:t>
        </w:r>
        <w:r w:rsidR="00091568">
          <w:rPr>
            <w:noProof/>
          </w:rPr>
          <w:tab/>
        </w:r>
        <w:r w:rsidR="00091568">
          <w:rPr>
            <w:noProof/>
          </w:rPr>
          <w:fldChar w:fldCharType="begin"/>
        </w:r>
        <w:r w:rsidR="00091568">
          <w:rPr>
            <w:noProof/>
          </w:rPr>
          <w:instrText xml:space="preserve"> PAGEREF _Toc30764023 \h </w:instrText>
        </w:r>
        <w:r w:rsidR="00091568">
          <w:rPr>
            <w:noProof/>
          </w:rPr>
        </w:r>
        <w:r w:rsidR="00091568">
          <w:rPr>
            <w:noProof/>
          </w:rPr>
          <w:fldChar w:fldCharType="separate"/>
        </w:r>
        <w:r w:rsidR="00091568">
          <w:rPr>
            <w:noProof/>
          </w:rPr>
          <w:t>9</w:t>
        </w:r>
        <w:r w:rsidR="00091568">
          <w:rPr>
            <w:noProof/>
          </w:rPr>
          <w:fldChar w:fldCharType="end"/>
        </w:r>
      </w:hyperlink>
    </w:p>
    <w:p w14:paraId="690844BC" w14:textId="77777777" w:rsidR="00091568" w:rsidRDefault="003511EF">
      <w:pPr>
        <w:pStyle w:val="Spistreci2"/>
        <w:rPr>
          <w:rFonts w:asciiTheme="minorHAnsi" w:eastAsiaTheme="minorEastAsia" w:hAnsiTheme="minorHAnsi" w:cstheme="minorBidi"/>
          <w:noProof/>
          <w:sz w:val="22"/>
          <w:szCs w:val="22"/>
          <w:lang w:val="en-GB" w:eastAsia="en-GB" w:bidi="ar-SA"/>
        </w:rPr>
      </w:pPr>
      <w:hyperlink w:anchor="_Toc30764024" w:history="1">
        <w:r w:rsidR="00091568" w:rsidRPr="00D77C52">
          <w:rPr>
            <w:rStyle w:val="Hipercze"/>
            <w:noProof/>
          </w:rPr>
          <w:t>Artykuł II.6 – Poufność</w:t>
        </w:r>
        <w:r w:rsidR="00091568">
          <w:rPr>
            <w:noProof/>
          </w:rPr>
          <w:tab/>
        </w:r>
        <w:r w:rsidR="00091568">
          <w:rPr>
            <w:noProof/>
          </w:rPr>
          <w:fldChar w:fldCharType="begin"/>
        </w:r>
        <w:r w:rsidR="00091568">
          <w:rPr>
            <w:noProof/>
          </w:rPr>
          <w:instrText xml:space="preserve"> PAGEREF _Toc30764024 \h </w:instrText>
        </w:r>
        <w:r w:rsidR="00091568">
          <w:rPr>
            <w:noProof/>
          </w:rPr>
        </w:r>
        <w:r w:rsidR="00091568">
          <w:rPr>
            <w:noProof/>
          </w:rPr>
          <w:fldChar w:fldCharType="separate"/>
        </w:r>
        <w:r w:rsidR="00091568">
          <w:rPr>
            <w:noProof/>
          </w:rPr>
          <w:t>9</w:t>
        </w:r>
        <w:r w:rsidR="00091568">
          <w:rPr>
            <w:noProof/>
          </w:rPr>
          <w:fldChar w:fldCharType="end"/>
        </w:r>
      </w:hyperlink>
    </w:p>
    <w:p w14:paraId="7D41E118" w14:textId="77777777" w:rsidR="00091568" w:rsidRDefault="003511EF">
      <w:pPr>
        <w:pStyle w:val="Spistreci2"/>
        <w:rPr>
          <w:rFonts w:asciiTheme="minorHAnsi" w:eastAsiaTheme="minorEastAsia" w:hAnsiTheme="minorHAnsi" w:cstheme="minorBidi"/>
          <w:noProof/>
          <w:sz w:val="22"/>
          <w:szCs w:val="22"/>
          <w:lang w:val="en-GB" w:eastAsia="en-GB" w:bidi="ar-SA"/>
        </w:rPr>
      </w:pPr>
      <w:hyperlink w:anchor="_Toc30764025" w:history="1">
        <w:r w:rsidR="00091568" w:rsidRPr="00D77C52">
          <w:rPr>
            <w:rStyle w:val="Hipercze"/>
            <w:noProof/>
          </w:rPr>
          <w:t>Artykuł II.7 – Przetwarzanie danych osobowych</w:t>
        </w:r>
        <w:r w:rsidR="00091568">
          <w:rPr>
            <w:noProof/>
          </w:rPr>
          <w:tab/>
        </w:r>
        <w:r w:rsidR="00091568">
          <w:rPr>
            <w:noProof/>
          </w:rPr>
          <w:fldChar w:fldCharType="begin"/>
        </w:r>
        <w:r w:rsidR="00091568">
          <w:rPr>
            <w:noProof/>
          </w:rPr>
          <w:instrText xml:space="preserve"> PAGEREF _Toc30764025 \h </w:instrText>
        </w:r>
        <w:r w:rsidR="00091568">
          <w:rPr>
            <w:noProof/>
          </w:rPr>
        </w:r>
        <w:r w:rsidR="00091568">
          <w:rPr>
            <w:noProof/>
          </w:rPr>
          <w:fldChar w:fldCharType="separate"/>
        </w:r>
        <w:r w:rsidR="00091568">
          <w:rPr>
            <w:noProof/>
          </w:rPr>
          <w:t>10</w:t>
        </w:r>
        <w:r w:rsidR="00091568">
          <w:rPr>
            <w:noProof/>
          </w:rPr>
          <w:fldChar w:fldCharType="end"/>
        </w:r>
      </w:hyperlink>
    </w:p>
    <w:p w14:paraId="63655F23" w14:textId="77777777" w:rsidR="00091568" w:rsidRDefault="003511EF">
      <w:pPr>
        <w:pStyle w:val="Spistreci3"/>
        <w:tabs>
          <w:tab w:val="left" w:pos="1916"/>
        </w:tabs>
        <w:rPr>
          <w:rFonts w:asciiTheme="minorHAnsi" w:eastAsiaTheme="minorEastAsia" w:hAnsiTheme="minorHAnsi" w:cstheme="minorBidi"/>
          <w:noProof/>
          <w:sz w:val="22"/>
          <w:szCs w:val="22"/>
          <w:lang w:val="en-GB" w:eastAsia="en-GB" w:bidi="ar-SA"/>
        </w:rPr>
      </w:pPr>
      <w:hyperlink w:anchor="_Toc30764026" w:history="1">
        <w:r w:rsidR="00091568" w:rsidRPr="00D77C52">
          <w:rPr>
            <w:rStyle w:val="Hipercze"/>
            <w:noProof/>
          </w:rPr>
          <w:t>II.7.1</w:t>
        </w:r>
        <w:r w:rsidR="00091568">
          <w:rPr>
            <w:rFonts w:asciiTheme="minorHAnsi" w:eastAsiaTheme="minorEastAsia" w:hAnsiTheme="minorHAnsi" w:cstheme="minorBidi"/>
            <w:noProof/>
            <w:sz w:val="22"/>
            <w:szCs w:val="22"/>
            <w:lang w:val="en-GB" w:eastAsia="en-GB" w:bidi="ar-SA"/>
          </w:rPr>
          <w:tab/>
        </w:r>
        <w:r w:rsidR="00091568" w:rsidRPr="00D77C52">
          <w:rPr>
            <w:rStyle w:val="Hipercze"/>
            <w:noProof/>
          </w:rPr>
          <w:t>Przetwarzanie danych osobowych przez Komisję</w:t>
        </w:r>
        <w:r w:rsidR="00091568">
          <w:rPr>
            <w:noProof/>
          </w:rPr>
          <w:tab/>
        </w:r>
        <w:r w:rsidR="00091568">
          <w:rPr>
            <w:noProof/>
          </w:rPr>
          <w:fldChar w:fldCharType="begin"/>
        </w:r>
        <w:r w:rsidR="00091568">
          <w:rPr>
            <w:noProof/>
          </w:rPr>
          <w:instrText xml:space="preserve"> PAGEREF _Toc30764026 \h </w:instrText>
        </w:r>
        <w:r w:rsidR="00091568">
          <w:rPr>
            <w:noProof/>
          </w:rPr>
        </w:r>
        <w:r w:rsidR="00091568">
          <w:rPr>
            <w:noProof/>
          </w:rPr>
          <w:fldChar w:fldCharType="separate"/>
        </w:r>
        <w:r w:rsidR="00091568">
          <w:rPr>
            <w:noProof/>
          </w:rPr>
          <w:t>10</w:t>
        </w:r>
        <w:r w:rsidR="00091568">
          <w:rPr>
            <w:noProof/>
          </w:rPr>
          <w:fldChar w:fldCharType="end"/>
        </w:r>
      </w:hyperlink>
    </w:p>
    <w:p w14:paraId="42FFA0A6" w14:textId="77777777" w:rsidR="00091568" w:rsidRDefault="003511EF">
      <w:pPr>
        <w:pStyle w:val="Spistreci3"/>
        <w:tabs>
          <w:tab w:val="left" w:pos="1916"/>
        </w:tabs>
        <w:rPr>
          <w:rFonts w:asciiTheme="minorHAnsi" w:eastAsiaTheme="minorEastAsia" w:hAnsiTheme="minorHAnsi" w:cstheme="minorBidi"/>
          <w:noProof/>
          <w:sz w:val="22"/>
          <w:szCs w:val="22"/>
          <w:lang w:val="en-GB" w:eastAsia="en-GB" w:bidi="ar-SA"/>
        </w:rPr>
      </w:pPr>
      <w:hyperlink w:anchor="_Toc30764027" w:history="1">
        <w:r w:rsidR="00091568" w:rsidRPr="00D77C52">
          <w:rPr>
            <w:rStyle w:val="Hipercze"/>
            <w:noProof/>
          </w:rPr>
          <w:t>II.7.2</w:t>
        </w:r>
        <w:r w:rsidR="00091568">
          <w:rPr>
            <w:rFonts w:asciiTheme="minorHAnsi" w:eastAsiaTheme="minorEastAsia" w:hAnsiTheme="minorHAnsi" w:cstheme="minorBidi"/>
            <w:noProof/>
            <w:sz w:val="22"/>
            <w:szCs w:val="22"/>
            <w:lang w:val="en-GB" w:eastAsia="en-GB" w:bidi="ar-SA"/>
          </w:rPr>
          <w:tab/>
        </w:r>
        <w:r w:rsidR="00091568" w:rsidRPr="00D77C52">
          <w:rPr>
            <w:rStyle w:val="Hipercze"/>
            <w:noProof/>
          </w:rPr>
          <w:t>Przetwarzanie danych osobowych przez beneficjentów</w:t>
        </w:r>
        <w:r w:rsidR="00091568">
          <w:rPr>
            <w:noProof/>
          </w:rPr>
          <w:tab/>
        </w:r>
        <w:r w:rsidR="00091568">
          <w:rPr>
            <w:noProof/>
          </w:rPr>
          <w:fldChar w:fldCharType="begin"/>
        </w:r>
        <w:r w:rsidR="00091568">
          <w:rPr>
            <w:noProof/>
          </w:rPr>
          <w:instrText xml:space="preserve"> PAGEREF _Toc30764027 \h </w:instrText>
        </w:r>
        <w:r w:rsidR="00091568">
          <w:rPr>
            <w:noProof/>
          </w:rPr>
        </w:r>
        <w:r w:rsidR="00091568">
          <w:rPr>
            <w:noProof/>
          </w:rPr>
          <w:fldChar w:fldCharType="separate"/>
        </w:r>
        <w:r w:rsidR="00091568">
          <w:rPr>
            <w:noProof/>
          </w:rPr>
          <w:t>10</w:t>
        </w:r>
        <w:r w:rsidR="00091568">
          <w:rPr>
            <w:noProof/>
          </w:rPr>
          <w:fldChar w:fldCharType="end"/>
        </w:r>
      </w:hyperlink>
    </w:p>
    <w:p w14:paraId="63C2DF76" w14:textId="77777777" w:rsidR="00091568" w:rsidRDefault="003511EF">
      <w:pPr>
        <w:pStyle w:val="Spistreci2"/>
        <w:rPr>
          <w:rFonts w:asciiTheme="minorHAnsi" w:eastAsiaTheme="minorEastAsia" w:hAnsiTheme="minorHAnsi" w:cstheme="minorBidi"/>
          <w:noProof/>
          <w:sz w:val="22"/>
          <w:szCs w:val="22"/>
          <w:lang w:val="en-GB" w:eastAsia="en-GB" w:bidi="ar-SA"/>
        </w:rPr>
      </w:pPr>
      <w:hyperlink w:anchor="_Toc30764028" w:history="1">
        <w:r w:rsidR="00091568" w:rsidRPr="00D77C52">
          <w:rPr>
            <w:rStyle w:val="Hipercze"/>
            <w:noProof/>
          </w:rPr>
          <w:t>Artykuł II.8 – Eksponowanie informacji o finansowaniu ze środków unijnych</w:t>
        </w:r>
        <w:r w:rsidR="00091568">
          <w:rPr>
            <w:noProof/>
          </w:rPr>
          <w:tab/>
        </w:r>
        <w:r w:rsidR="00091568">
          <w:rPr>
            <w:noProof/>
          </w:rPr>
          <w:fldChar w:fldCharType="begin"/>
        </w:r>
        <w:r w:rsidR="00091568">
          <w:rPr>
            <w:noProof/>
          </w:rPr>
          <w:instrText xml:space="preserve"> PAGEREF _Toc30764028 \h </w:instrText>
        </w:r>
        <w:r w:rsidR="00091568">
          <w:rPr>
            <w:noProof/>
          </w:rPr>
        </w:r>
        <w:r w:rsidR="00091568">
          <w:rPr>
            <w:noProof/>
          </w:rPr>
          <w:fldChar w:fldCharType="separate"/>
        </w:r>
        <w:r w:rsidR="00091568">
          <w:rPr>
            <w:noProof/>
          </w:rPr>
          <w:t>11</w:t>
        </w:r>
        <w:r w:rsidR="00091568">
          <w:rPr>
            <w:noProof/>
          </w:rPr>
          <w:fldChar w:fldCharType="end"/>
        </w:r>
      </w:hyperlink>
    </w:p>
    <w:p w14:paraId="4603A5EE" w14:textId="77777777" w:rsidR="00091568" w:rsidRDefault="003511EF">
      <w:pPr>
        <w:pStyle w:val="Spistreci3"/>
        <w:tabs>
          <w:tab w:val="left" w:pos="1916"/>
        </w:tabs>
        <w:rPr>
          <w:rFonts w:asciiTheme="minorHAnsi" w:eastAsiaTheme="minorEastAsia" w:hAnsiTheme="minorHAnsi" w:cstheme="minorBidi"/>
          <w:noProof/>
          <w:sz w:val="22"/>
          <w:szCs w:val="22"/>
          <w:lang w:val="en-GB" w:eastAsia="en-GB" w:bidi="ar-SA"/>
        </w:rPr>
      </w:pPr>
      <w:hyperlink w:anchor="_Toc30764029" w:history="1">
        <w:r w:rsidR="00091568" w:rsidRPr="00D77C52">
          <w:rPr>
            <w:rStyle w:val="Hipercze"/>
            <w:noProof/>
          </w:rPr>
          <w:t>II.8.1</w:t>
        </w:r>
        <w:r w:rsidR="00091568">
          <w:rPr>
            <w:rFonts w:asciiTheme="minorHAnsi" w:eastAsiaTheme="minorEastAsia" w:hAnsiTheme="minorHAnsi" w:cstheme="minorBidi"/>
            <w:noProof/>
            <w:sz w:val="22"/>
            <w:szCs w:val="22"/>
            <w:lang w:val="en-GB" w:eastAsia="en-GB" w:bidi="ar-SA"/>
          </w:rPr>
          <w:tab/>
        </w:r>
        <w:r w:rsidR="00091568" w:rsidRPr="00D77C52">
          <w:rPr>
            <w:rStyle w:val="Hipercze"/>
            <w:noProof/>
          </w:rPr>
          <w:t>Informacje dotyczące finansowania ze środków unijnych oraz wykorzystanie godła Unii Europejskiej</w:t>
        </w:r>
        <w:r w:rsidR="00091568">
          <w:rPr>
            <w:noProof/>
          </w:rPr>
          <w:tab/>
        </w:r>
        <w:r w:rsidR="00091568">
          <w:rPr>
            <w:noProof/>
          </w:rPr>
          <w:fldChar w:fldCharType="begin"/>
        </w:r>
        <w:r w:rsidR="00091568">
          <w:rPr>
            <w:noProof/>
          </w:rPr>
          <w:instrText xml:space="preserve"> PAGEREF _Toc30764029 \h </w:instrText>
        </w:r>
        <w:r w:rsidR="00091568">
          <w:rPr>
            <w:noProof/>
          </w:rPr>
        </w:r>
        <w:r w:rsidR="00091568">
          <w:rPr>
            <w:noProof/>
          </w:rPr>
          <w:fldChar w:fldCharType="separate"/>
        </w:r>
        <w:r w:rsidR="00091568">
          <w:rPr>
            <w:noProof/>
          </w:rPr>
          <w:t>11</w:t>
        </w:r>
        <w:r w:rsidR="00091568">
          <w:rPr>
            <w:noProof/>
          </w:rPr>
          <w:fldChar w:fldCharType="end"/>
        </w:r>
      </w:hyperlink>
    </w:p>
    <w:p w14:paraId="1501832A" w14:textId="77777777" w:rsidR="00091568" w:rsidRDefault="003511EF">
      <w:pPr>
        <w:pStyle w:val="Spistreci3"/>
        <w:tabs>
          <w:tab w:val="left" w:pos="1916"/>
        </w:tabs>
        <w:rPr>
          <w:rFonts w:asciiTheme="minorHAnsi" w:eastAsiaTheme="minorEastAsia" w:hAnsiTheme="minorHAnsi" w:cstheme="minorBidi"/>
          <w:noProof/>
          <w:sz w:val="22"/>
          <w:szCs w:val="22"/>
          <w:lang w:val="en-GB" w:eastAsia="en-GB" w:bidi="ar-SA"/>
        </w:rPr>
      </w:pPr>
      <w:hyperlink w:anchor="_Toc30764030" w:history="1">
        <w:r w:rsidR="00091568" w:rsidRPr="00D77C52">
          <w:rPr>
            <w:rStyle w:val="Hipercze"/>
            <w:noProof/>
          </w:rPr>
          <w:t>II.8.2</w:t>
        </w:r>
        <w:r w:rsidR="00091568">
          <w:rPr>
            <w:rFonts w:asciiTheme="minorHAnsi" w:eastAsiaTheme="minorEastAsia" w:hAnsiTheme="minorHAnsi" w:cstheme="minorBidi"/>
            <w:noProof/>
            <w:sz w:val="22"/>
            <w:szCs w:val="22"/>
            <w:lang w:val="en-GB" w:eastAsia="en-GB" w:bidi="ar-SA"/>
          </w:rPr>
          <w:tab/>
        </w:r>
        <w:r w:rsidR="00091568" w:rsidRPr="00D77C52">
          <w:rPr>
            <w:rStyle w:val="Hipercze"/>
            <w:noProof/>
          </w:rPr>
          <w:t>Zastrzeżenia wyłączające odpowiedzialność Komisji</w:t>
        </w:r>
        <w:r w:rsidR="00091568">
          <w:rPr>
            <w:noProof/>
          </w:rPr>
          <w:tab/>
        </w:r>
        <w:r w:rsidR="00091568">
          <w:rPr>
            <w:noProof/>
          </w:rPr>
          <w:fldChar w:fldCharType="begin"/>
        </w:r>
        <w:r w:rsidR="00091568">
          <w:rPr>
            <w:noProof/>
          </w:rPr>
          <w:instrText xml:space="preserve"> PAGEREF _Toc30764030 \h </w:instrText>
        </w:r>
        <w:r w:rsidR="00091568">
          <w:rPr>
            <w:noProof/>
          </w:rPr>
        </w:r>
        <w:r w:rsidR="00091568">
          <w:rPr>
            <w:noProof/>
          </w:rPr>
          <w:fldChar w:fldCharType="separate"/>
        </w:r>
        <w:r w:rsidR="00091568">
          <w:rPr>
            <w:noProof/>
          </w:rPr>
          <w:t>11</w:t>
        </w:r>
        <w:r w:rsidR="00091568">
          <w:rPr>
            <w:noProof/>
          </w:rPr>
          <w:fldChar w:fldCharType="end"/>
        </w:r>
      </w:hyperlink>
    </w:p>
    <w:p w14:paraId="7611A4B7" w14:textId="77777777" w:rsidR="00091568" w:rsidRDefault="003511EF">
      <w:pPr>
        <w:pStyle w:val="Spistreci2"/>
        <w:rPr>
          <w:rFonts w:asciiTheme="minorHAnsi" w:eastAsiaTheme="minorEastAsia" w:hAnsiTheme="minorHAnsi" w:cstheme="minorBidi"/>
          <w:noProof/>
          <w:sz w:val="22"/>
          <w:szCs w:val="22"/>
          <w:lang w:val="en-GB" w:eastAsia="en-GB" w:bidi="ar-SA"/>
        </w:rPr>
      </w:pPr>
      <w:hyperlink w:anchor="_Toc30764031" w:history="1">
        <w:r w:rsidR="00091568" w:rsidRPr="00D77C52">
          <w:rPr>
            <w:rStyle w:val="Hipercze"/>
            <w:noProof/>
          </w:rPr>
          <w:t>Artykuł II.9 – Wcześniej istniejące prawa i własność oraz wykorzystanie wyników (w tym praw własności intelektualnej i przemysłowej)</w:t>
        </w:r>
        <w:r w:rsidR="00091568">
          <w:rPr>
            <w:noProof/>
          </w:rPr>
          <w:tab/>
        </w:r>
        <w:r w:rsidR="00091568">
          <w:rPr>
            <w:noProof/>
          </w:rPr>
          <w:fldChar w:fldCharType="begin"/>
        </w:r>
        <w:r w:rsidR="00091568">
          <w:rPr>
            <w:noProof/>
          </w:rPr>
          <w:instrText xml:space="preserve"> PAGEREF _Toc30764031 \h </w:instrText>
        </w:r>
        <w:r w:rsidR="00091568">
          <w:rPr>
            <w:noProof/>
          </w:rPr>
        </w:r>
        <w:r w:rsidR="00091568">
          <w:rPr>
            <w:noProof/>
          </w:rPr>
          <w:fldChar w:fldCharType="separate"/>
        </w:r>
        <w:r w:rsidR="00091568">
          <w:rPr>
            <w:noProof/>
          </w:rPr>
          <w:t>12</w:t>
        </w:r>
        <w:r w:rsidR="00091568">
          <w:rPr>
            <w:noProof/>
          </w:rPr>
          <w:fldChar w:fldCharType="end"/>
        </w:r>
      </w:hyperlink>
    </w:p>
    <w:p w14:paraId="1DE9051B" w14:textId="77777777" w:rsidR="00091568" w:rsidRDefault="003511EF">
      <w:pPr>
        <w:pStyle w:val="Spistreci3"/>
        <w:tabs>
          <w:tab w:val="left" w:pos="1916"/>
        </w:tabs>
        <w:rPr>
          <w:rFonts w:asciiTheme="minorHAnsi" w:eastAsiaTheme="minorEastAsia" w:hAnsiTheme="minorHAnsi" w:cstheme="minorBidi"/>
          <w:noProof/>
          <w:sz w:val="22"/>
          <w:szCs w:val="22"/>
          <w:lang w:val="en-GB" w:eastAsia="en-GB" w:bidi="ar-SA"/>
        </w:rPr>
      </w:pPr>
      <w:hyperlink w:anchor="_Toc30764032" w:history="1">
        <w:r w:rsidR="00091568" w:rsidRPr="00D77C52">
          <w:rPr>
            <w:rStyle w:val="Hipercze"/>
            <w:noProof/>
          </w:rPr>
          <w:t>II.9.1</w:t>
        </w:r>
        <w:r w:rsidR="00091568">
          <w:rPr>
            <w:rFonts w:asciiTheme="minorHAnsi" w:eastAsiaTheme="minorEastAsia" w:hAnsiTheme="minorHAnsi" w:cstheme="minorBidi"/>
            <w:noProof/>
            <w:sz w:val="22"/>
            <w:szCs w:val="22"/>
            <w:lang w:val="en-GB" w:eastAsia="en-GB" w:bidi="ar-SA"/>
          </w:rPr>
          <w:tab/>
        </w:r>
        <w:r w:rsidR="00091568" w:rsidRPr="00D77C52">
          <w:rPr>
            <w:rStyle w:val="Hipercze"/>
            <w:noProof/>
          </w:rPr>
          <w:t>Prawo własności wyników przysługujące beneficjentom</w:t>
        </w:r>
        <w:r w:rsidR="00091568">
          <w:rPr>
            <w:noProof/>
          </w:rPr>
          <w:tab/>
        </w:r>
        <w:r w:rsidR="00091568">
          <w:rPr>
            <w:noProof/>
          </w:rPr>
          <w:fldChar w:fldCharType="begin"/>
        </w:r>
        <w:r w:rsidR="00091568">
          <w:rPr>
            <w:noProof/>
          </w:rPr>
          <w:instrText xml:space="preserve"> PAGEREF _Toc30764032 \h </w:instrText>
        </w:r>
        <w:r w:rsidR="00091568">
          <w:rPr>
            <w:noProof/>
          </w:rPr>
        </w:r>
        <w:r w:rsidR="00091568">
          <w:rPr>
            <w:noProof/>
          </w:rPr>
          <w:fldChar w:fldCharType="separate"/>
        </w:r>
        <w:r w:rsidR="00091568">
          <w:rPr>
            <w:noProof/>
          </w:rPr>
          <w:t>12</w:t>
        </w:r>
        <w:r w:rsidR="00091568">
          <w:rPr>
            <w:noProof/>
          </w:rPr>
          <w:fldChar w:fldCharType="end"/>
        </w:r>
      </w:hyperlink>
    </w:p>
    <w:p w14:paraId="0F75A3C5" w14:textId="77777777" w:rsidR="00091568" w:rsidRDefault="003511EF">
      <w:pPr>
        <w:pStyle w:val="Spistreci3"/>
        <w:tabs>
          <w:tab w:val="left" w:pos="1916"/>
        </w:tabs>
        <w:rPr>
          <w:rFonts w:asciiTheme="minorHAnsi" w:eastAsiaTheme="minorEastAsia" w:hAnsiTheme="minorHAnsi" w:cstheme="minorBidi"/>
          <w:noProof/>
          <w:sz w:val="22"/>
          <w:szCs w:val="22"/>
          <w:lang w:val="en-GB" w:eastAsia="en-GB" w:bidi="ar-SA"/>
        </w:rPr>
      </w:pPr>
      <w:hyperlink w:anchor="_Toc30764033" w:history="1">
        <w:r w:rsidR="00091568" w:rsidRPr="00D77C52">
          <w:rPr>
            <w:rStyle w:val="Hipercze"/>
            <w:noProof/>
          </w:rPr>
          <w:t>II.9.2</w:t>
        </w:r>
        <w:r w:rsidR="00091568">
          <w:rPr>
            <w:rFonts w:asciiTheme="minorHAnsi" w:eastAsiaTheme="minorEastAsia" w:hAnsiTheme="minorHAnsi" w:cstheme="minorBidi"/>
            <w:noProof/>
            <w:sz w:val="22"/>
            <w:szCs w:val="22"/>
            <w:lang w:val="en-GB" w:eastAsia="en-GB" w:bidi="ar-SA"/>
          </w:rPr>
          <w:tab/>
        </w:r>
        <w:r w:rsidR="00091568" w:rsidRPr="00D77C52">
          <w:rPr>
            <w:rStyle w:val="Hipercze"/>
            <w:noProof/>
          </w:rPr>
          <w:t>Wcześniej istniejące prawa</w:t>
        </w:r>
        <w:r w:rsidR="00091568">
          <w:rPr>
            <w:noProof/>
          </w:rPr>
          <w:tab/>
        </w:r>
        <w:r w:rsidR="00091568">
          <w:rPr>
            <w:noProof/>
          </w:rPr>
          <w:fldChar w:fldCharType="begin"/>
        </w:r>
        <w:r w:rsidR="00091568">
          <w:rPr>
            <w:noProof/>
          </w:rPr>
          <w:instrText xml:space="preserve"> PAGEREF _Toc30764033 \h </w:instrText>
        </w:r>
        <w:r w:rsidR="00091568">
          <w:rPr>
            <w:noProof/>
          </w:rPr>
        </w:r>
        <w:r w:rsidR="00091568">
          <w:rPr>
            <w:noProof/>
          </w:rPr>
          <w:fldChar w:fldCharType="separate"/>
        </w:r>
        <w:r w:rsidR="00091568">
          <w:rPr>
            <w:noProof/>
          </w:rPr>
          <w:t>12</w:t>
        </w:r>
        <w:r w:rsidR="00091568">
          <w:rPr>
            <w:noProof/>
          </w:rPr>
          <w:fldChar w:fldCharType="end"/>
        </w:r>
      </w:hyperlink>
    </w:p>
    <w:p w14:paraId="2F187091" w14:textId="77777777" w:rsidR="00091568" w:rsidRDefault="003511EF">
      <w:pPr>
        <w:pStyle w:val="Spistreci3"/>
        <w:tabs>
          <w:tab w:val="left" w:pos="1916"/>
        </w:tabs>
        <w:rPr>
          <w:rFonts w:asciiTheme="minorHAnsi" w:eastAsiaTheme="minorEastAsia" w:hAnsiTheme="minorHAnsi" w:cstheme="minorBidi"/>
          <w:noProof/>
          <w:sz w:val="22"/>
          <w:szCs w:val="22"/>
          <w:lang w:val="en-GB" w:eastAsia="en-GB" w:bidi="ar-SA"/>
        </w:rPr>
      </w:pPr>
      <w:hyperlink w:anchor="_Toc30764034" w:history="1">
        <w:r w:rsidR="00091568" w:rsidRPr="00D77C52">
          <w:rPr>
            <w:rStyle w:val="Hipercze"/>
            <w:noProof/>
          </w:rPr>
          <w:t>II.9.3</w:t>
        </w:r>
        <w:r w:rsidR="00091568">
          <w:rPr>
            <w:rFonts w:asciiTheme="minorHAnsi" w:eastAsiaTheme="minorEastAsia" w:hAnsiTheme="minorHAnsi" w:cstheme="minorBidi"/>
            <w:noProof/>
            <w:sz w:val="22"/>
            <w:szCs w:val="22"/>
            <w:lang w:val="en-GB" w:eastAsia="en-GB" w:bidi="ar-SA"/>
          </w:rPr>
          <w:tab/>
        </w:r>
        <w:r w:rsidR="00091568" w:rsidRPr="00D77C52">
          <w:rPr>
            <w:rStyle w:val="Hipercze"/>
            <w:noProof/>
          </w:rPr>
          <w:t>Prawa do korzystania z wyników oraz wcześniej istniejących praw przez Unię</w:t>
        </w:r>
        <w:r w:rsidR="00091568">
          <w:rPr>
            <w:noProof/>
          </w:rPr>
          <w:tab/>
        </w:r>
        <w:r w:rsidR="00091568">
          <w:rPr>
            <w:noProof/>
          </w:rPr>
          <w:fldChar w:fldCharType="begin"/>
        </w:r>
        <w:r w:rsidR="00091568">
          <w:rPr>
            <w:noProof/>
          </w:rPr>
          <w:instrText xml:space="preserve"> PAGEREF _Toc30764034 \h </w:instrText>
        </w:r>
        <w:r w:rsidR="00091568">
          <w:rPr>
            <w:noProof/>
          </w:rPr>
        </w:r>
        <w:r w:rsidR="00091568">
          <w:rPr>
            <w:noProof/>
          </w:rPr>
          <w:fldChar w:fldCharType="separate"/>
        </w:r>
        <w:r w:rsidR="00091568">
          <w:rPr>
            <w:noProof/>
          </w:rPr>
          <w:t>12</w:t>
        </w:r>
        <w:r w:rsidR="00091568">
          <w:rPr>
            <w:noProof/>
          </w:rPr>
          <w:fldChar w:fldCharType="end"/>
        </w:r>
      </w:hyperlink>
    </w:p>
    <w:p w14:paraId="57A346C3" w14:textId="77777777" w:rsidR="00091568" w:rsidRDefault="003511EF">
      <w:pPr>
        <w:pStyle w:val="Spistreci2"/>
        <w:rPr>
          <w:rFonts w:asciiTheme="minorHAnsi" w:eastAsiaTheme="minorEastAsia" w:hAnsiTheme="minorHAnsi" w:cstheme="minorBidi"/>
          <w:noProof/>
          <w:sz w:val="22"/>
          <w:szCs w:val="22"/>
          <w:lang w:val="en-GB" w:eastAsia="en-GB" w:bidi="ar-SA"/>
        </w:rPr>
      </w:pPr>
      <w:hyperlink w:anchor="_Toc30764035" w:history="1">
        <w:r w:rsidR="00091568" w:rsidRPr="00D77C52">
          <w:rPr>
            <w:rStyle w:val="Hipercze"/>
            <w:noProof/>
          </w:rPr>
          <w:t>Artykuł II.10 – Udzielanie zamówień niezbędnych do realizacji działania</w:t>
        </w:r>
        <w:r w:rsidR="00091568">
          <w:rPr>
            <w:noProof/>
          </w:rPr>
          <w:tab/>
        </w:r>
        <w:r w:rsidR="00091568">
          <w:rPr>
            <w:noProof/>
          </w:rPr>
          <w:fldChar w:fldCharType="begin"/>
        </w:r>
        <w:r w:rsidR="00091568">
          <w:rPr>
            <w:noProof/>
          </w:rPr>
          <w:instrText xml:space="preserve"> PAGEREF _Toc30764035 \h </w:instrText>
        </w:r>
        <w:r w:rsidR="00091568">
          <w:rPr>
            <w:noProof/>
          </w:rPr>
        </w:r>
        <w:r w:rsidR="00091568">
          <w:rPr>
            <w:noProof/>
          </w:rPr>
          <w:fldChar w:fldCharType="separate"/>
        </w:r>
        <w:r w:rsidR="00091568">
          <w:rPr>
            <w:noProof/>
          </w:rPr>
          <w:t>13</w:t>
        </w:r>
        <w:r w:rsidR="00091568">
          <w:rPr>
            <w:noProof/>
          </w:rPr>
          <w:fldChar w:fldCharType="end"/>
        </w:r>
      </w:hyperlink>
    </w:p>
    <w:p w14:paraId="2DDE89BF" w14:textId="77777777" w:rsidR="00091568" w:rsidRDefault="003511EF">
      <w:pPr>
        <w:pStyle w:val="Spistreci2"/>
        <w:rPr>
          <w:rFonts w:asciiTheme="minorHAnsi" w:eastAsiaTheme="minorEastAsia" w:hAnsiTheme="minorHAnsi" w:cstheme="minorBidi"/>
          <w:noProof/>
          <w:sz w:val="22"/>
          <w:szCs w:val="22"/>
          <w:lang w:val="en-GB" w:eastAsia="en-GB" w:bidi="ar-SA"/>
        </w:rPr>
      </w:pPr>
      <w:hyperlink w:anchor="_Toc30764036" w:history="1">
        <w:r w:rsidR="00091568" w:rsidRPr="00D77C52">
          <w:rPr>
            <w:rStyle w:val="Hipercze"/>
            <w:noProof/>
          </w:rPr>
          <w:t>Artykuł II.11 – Podwykonawstwo zadań będących częścią działania</w:t>
        </w:r>
        <w:r w:rsidR="00091568">
          <w:rPr>
            <w:noProof/>
          </w:rPr>
          <w:tab/>
        </w:r>
        <w:r w:rsidR="00091568">
          <w:rPr>
            <w:noProof/>
          </w:rPr>
          <w:fldChar w:fldCharType="begin"/>
        </w:r>
        <w:r w:rsidR="00091568">
          <w:rPr>
            <w:noProof/>
          </w:rPr>
          <w:instrText xml:space="preserve"> PAGEREF _Toc30764036 \h </w:instrText>
        </w:r>
        <w:r w:rsidR="00091568">
          <w:rPr>
            <w:noProof/>
          </w:rPr>
        </w:r>
        <w:r w:rsidR="00091568">
          <w:rPr>
            <w:noProof/>
          </w:rPr>
          <w:fldChar w:fldCharType="separate"/>
        </w:r>
        <w:r w:rsidR="00091568">
          <w:rPr>
            <w:noProof/>
          </w:rPr>
          <w:t>14</w:t>
        </w:r>
        <w:r w:rsidR="00091568">
          <w:rPr>
            <w:noProof/>
          </w:rPr>
          <w:fldChar w:fldCharType="end"/>
        </w:r>
      </w:hyperlink>
    </w:p>
    <w:p w14:paraId="4D57353C" w14:textId="77777777" w:rsidR="00091568" w:rsidRDefault="003511EF">
      <w:pPr>
        <w:pStyle w:val="Spistreci2"/>
        <w:rPr>
          <w:rFonts w:asciiTheme="minorHAnsi" w:eastAsiaTheme="minorEastAsia" w:hAnsiTheme="minorHAnsi" w:cstheme="minorBidi"/>
          <w:noProof/>
          <w:sz w:val="22"/>
          <w:szCs w:val="22"/>
          <w:lang w:val="en-GB" w:eastAsia="en-GB" w:bidi="ar-SA"/>
        </w:rPr>
      </w:pPr>
      <w:hyperlink w:anchor="_Toc30764037" w:history="1">
        <w:r w:rsidR="00091568" w:rsidRPr="00D77C52">
          <w:rPr>
            <w:rStyle w:val="Hipercze"/>
            <w:noProof/>
          </w:rPr>
          <w:t>Artykuł II.12 – Wsparcie finansowe na rzecz osób trzecich</w:t>
        </w:r>
        <w:r w:rsidR="00091568">
          <w:rPr>
            <w:noProof/>
          </w:rPr>
          <w:tab/>
        </w:r>
        <w:r w:rsidR="00091568">
          <w:rPr>
            <w:noProof/>
          </w:rPr>
          <w:fldChar w:fldCharType="begin"/>
        </w:r>
        <w:r w:rsidR="00091568">
          <w:rPr>
            <w:noProof/>
          </w:rPr>
          <w:instrText xml:space="preserve"> PAGEREF _Toc30764037 \h </w:instrText>
        </w:r>
        <w:r w:rsidR="00091568">
          <w:rPr>
            <w:noProof/>
          </w:rPr>
        </w:r>
        <w:r w:rsidR="00091568">
          <w:rPr>
            <w:noProof/>
          </w:rPr>
          <w:fldChar w:fldCharType="separate"/>
        </w:r>
        <w:r w:rsidR="00091568">
          <w:rPr>
            <w:noProof/>
          </w:rPr>
          <w:t>15</w:t>
        </w:r>
        <w:r w:rsidR="00091568">
          <w:rPr>
            <w:noProof/>
          </w:rPr>
          <w:fldChar w:fldCharType="end"/>
        </w:r>
      </w:hyperlink>
    </w:p>
    <w:p w14:paraId="25A21843" w14:textId="77777777" w:rsidR="00091568" w:rsidRDefault="003511EF">
      <w:pPr>
        <w:pStyle w:val="Spistreci2"/>
        <w:rPr>
          <w:rFonts w:asciiTheme="minorHAnsi" w:eastAsiaTheme="minorEastAsia" w:hAnsiTheme="minorHAnsi" w:cstheme="minorBidi"/>
          <w:noProof/>
          <w:sz w:val="22"/>
          <w:szCs w:val="22"/>
          <w:lang w:val="en-GB" w:eastAsia="en-GB" w:bidi="ar-SA"/>
        </w:rPr>
      </w:pPr>
      <w:hyperlink w:anchor="_Toc30764038" w:history="1">
        <w:r w:rsidR="00091568" w:rsidRPr="00D77C52">
          <w:rPr>
            <w:rStyle w:val="Hipercze"/>
            <w:noProof/>
          </w:rPr>
          <w:t>Artykuł II.13 – Zmiany Umowy</w:t>
        </w:r>
        <w:r w:rsidR="00091568">
          <w:rPr>
            <w:noProof/>
          </w:rPr>
          <w:tab/>
        </w:r>
        <w:r w:rsidR="00091568">
          <w:rPr>
            <w:noProof/>
          </w:rPr>
          <w:fldChar w:fldCharType="begin"/>
        </w:r>
        <w:r w:rsidR="00091568">
          <w:rPr>
            <w:noProof/>
          </w:rPr>
          <w:instrText xml:space="preserve"> PAGEREF _Toc30764038 \h </w:instrText>
        </w:r>
        <w:r w:rsidR="00091568">
          <w:rPr>
            <w:noProof/>
          </w:rPr>
        </w:r>
        <w:r w:rsidR="00091568">
          <w:rPr>
            <w:noProof/>
          </w:rPr>
          <w:fldChar w:fldCharType="separate"/>
        </w:r>
        <w:r w:rsidR="00091568">
          <w:rPr>
            <w:noProof/>
          </w:rPr>
          <w:t>15</w:t>
        </w:r>
        <w:r w:rsidR="00091568">
          <w:rPr>
            <w:noProof/>
          </w:rPr>
          <w:fldChar w:fldCharType="end"/>
        </w:r>
      </w:hyperlink>
    </w:p>
    <w:p w14:paraId="56899788" w14:textId="77777777" w:rsidR="00091568" w:rsidRDefault="003511EF">
      <w:pPr>
        <w:pStyle w:val="Spistreci2"/>
        <w:rPr>
          <w:rFonts w:asciiTheme="minorHAnsi" w:eastAsiaTheme="minorEastAsia" w:hAnsiTheme="minorHAnsi" w:cstheme="minorBidi"/>
          <w:noProof/>
          <w:sz w:val="22"/>
          <w:szCs w:val="22"/>
          <w:lang w:val="en-GB" w:eastAsia="en-GB" w:bidi="ar-SA"/>
        </w:rPr>
      </w:pPr>
      <w:hyperlink w:anchor="_Toc30764039" w:history="1">
        <w:r w:rsidR="00091568" w:rsidRPr="00D77C52">
          <w:rPr>
            <w:rStyle w:val="Hipercze"/>
            <w:noProof/>
          </w:rPr>
          <w:t>Artykuł II.14 – Przeniesienie roszczeń o płatność na osoby trzecie</w:t>
        </w:r>
        <w:r w:rsidR="00091568">
          <w:rPr>
            <w:noProof/>
          </w:rPr>
          <w:tab/>
        </w:r>
        <w:r w:rsidR="00091568">
          <w:rPr>
            <w:noProof/>
          </w:rPr>
          <w:fldChar w:fldCharType="begin"/>
        </w:r>
        <w:r w:rsidR="00091568">
          <w:rPr>
            <w:noProof/>
          </w:rPr>
          <w:instrText xml:space="preserve"> PAGEREF _Toc30764039 \h </w:instrText>
        </w:r>
        <w:r w:rsidR="00091568">
          <w:rPr>
            <w:noProof/>
          </w:rPr>
        </w:r>
        <w:r w:rsidR="00091568">
          <w:rPr>
            <w:noProof/>
          </w:rPr>
          <w:fldChar w:fldCharType="separate"/>
        </w:r>
        <w:r w:rsidR="00091568">
          <w:rPr>
            <w:noProof/>
          </w:rPr>
          <w:t>16</w:t>
        </w:r>
        <w:r w:rsidR="00091568">
          <w:rPr>
            <w:noProof/>
          </w:rPr>
          <w:fldChar w:fldCharType="end"/>
        </w:r>
      </w:hyperlink>
    </w:p>
    <w:p w14:paraId="77872A66" w14:textId="77777777" w:rsidR="00091568" w:rsidRDefault="003511EF">
      <w:pPr>
        <w:pStyle w:val="Spistreci2"/>
        <w:rPr>
          <w:rFonts w:asciiTheme="minorHAnsi" w:eastAsiaTheme="minorEastAsia" w:hAnsiTheme="minorHAnsi" w:cstheme="minorBidi"/>
          <w:noProof/>
          <w:sz w:val="22"/>
          <w:szCs w:val="22"/>
          <w:lang w:val="en-GB" w:eastAsia="en-GB" w:bidi="ar-SA"/>
        </w:rPr>
      </w:pPr>
      <w:hyperlink w:anchor="_Toc30764040" w:history="1">
        <w:r w:rsidR="00091568" w:rsidRPr="00D77C52">
          <w:rPr>
            <w:rStyle w:val="Hipercze"/>
            <w:noProof/>
          </w:rPr>
          <w:t>Artykuł II.15 – Siła wyższa</w:t>
        </w:r>
        <w:r w:rsidR="00091568">
          <w:rPr>
            <w:noProof/>
          </w:rPr>
          <w:tab/>
        </w:r>
        <w:r w:rsidR="00091568">
          <w:rPr>
            <w:noProof/>
          </w:rPr>
          <w:fldChar w:fldCharType="begin"/>
        </w:r>
        <w:r w:rsidR="00091568">
          <w:rPr>
            <w:noProof/>
          </w:rPr>
          <w:instrText xml:space="preserve"> PAGEREF _Toc30764040 \h </w:instrText>
        </w:r>
        <w:r w:rsidR="00091568">
          <w:rPr>
            <w:noProof/>
          </w:rPr>
        </w:r>
        <w:r w:rsidR="00091568">
          <w:rPr>
            <w:noProof/>
          </w:rPr>
          <w:fldChar w:fldCharType="separate"/>
        </w:r>
        <w:r w:rsidR="00091568">
          <w:rPr>
            <w:noProof/>
          </w:rPr>
          <w:t>16</w:t>
        </w:r>
        <w:r w:rsidR="00091568">
          <w:rPr>
            <w:noProof/>
          </w:rPr>
          <w:fldChar w:fldCharType="end"/>
        </w:r>
      </w:hyperlink>
    </w:p>
    <w:p w14:paraId="17727DC6" w14:textId="77777777" w:rsidR="00091568" w:rsidRDefault="003511EF">
      <w:pPr>
        <w:pStyle w:val="Spistreci2"/>
        <w:rPr>
          <w:rFonts w:asciiTheme="minorHAnsi" w:eastAsiaTheme="minorEastAsia" w:hAnsiTheme="minorHAnsi" w:cstheme="minorBidi"/>
          <w:noProof/>
          <w:sz w:val="22"/>
          <w:szCs w:val="22"/>
          <w:lang w:val="en-GB" w:eastAsia="en-GB" w:bidi="ar-SA"/>
        </w:rPr>
      </w:pPr>
      <w:hyperlink w:anchor="_Toc30764041" w:history="1">
        <w:r w:rsidR="00091568" w:rsidRPr="00D77C52">
          <w:rPr>
            <w:rStyle w:val="Hipercze"/>
            <w:noProof/>
          </w:rPr>
          <w:t>Artykuł II.16 – Zawieszenie realizacji działania</w:t>
        </w:r>
        <w:r w:rsidR="00091568">
          <w:rPr>
            <w:noProof/>
          </w:rPr>
          <w:tab/>
        </w:r>
        <w:r w:rsidR="00091568">
          <w:rPr>
            <w:noProof/>
          </w:rPr>
          <w:fldChar w:fldCharType="begin"/>
        </w:r>
        <w:r w:rsidR="00091568">
          <w:rPr>
            <w:noProof/>
          </w:rPr>
          <w:instrText xml:space="preserve"> PAGEREF _Toc30764041 \h </w:instrText>
        </w:r>
        <w:r w:rsidR="00091568">
          <w:rPr>
            <w:noProof/>
          </w:rPr>
        </w:r>
        <w:r w:rsidR="00091568">
          <w:rPr>
            <w:noProof/>
          </w:rPr>
          <w:fldChar w:fldCharType="separate"/>
        </w:r>
        <w:r w:rsidR="00091568">
          <w:rPr>
            <w:noProof/>
          </w:rPr>
          <w:t>17</w:t>
        </w:r>
        <w:r w:rsidR="00091568">
          <w:rPr>
            <w:noProof/>
          </w:rPr>
          <w:fldChar w:fldCharType="end"/>
        </w:r>
      </w:hyperlink>
    </w:p>
    <w:p w14:paraId="1E4FCC01" w14:textId="77777777" w:rsidR="00091568" w:rsidRDefault="003511EF">
      <w:pPr>
        <w:pStyle w:val="Spistreci3"/>
        <w:tabs>
          <w:tab w:val="left" w:pos="2880"/>
        </w:tabs>
        <w:rPr>
          <w:rFonts w:asciiTheme="minorHAnsi" w:eastAsiaTheme="minorEastAsia" w:hAnsiTheme="minorHAnsi" w:cstheme="minorBidi"/>
          <w:noProof/>
          <w:sz w:val="22"/>
          <w:szCs w:val="22"/>
          <w:lang w:val="en-GB" w:eastAsia="en-GB" w:bidi="ar-SA"/>
        </w:rPr>
      </w:pPr>
      <w:hyperlink w:anchor="_Toc30764042" w:history="1">
        <w:r w:rsidR="00091568" w:rsidRPr="00D77C52">
          <w:rPr>
            <w:rStyle w:val="Hipercze"/>
            <w:noProof/>
          </w:rPr>
          <w:t>II.16.1</w:t>
        </w:r>
        <w:r w:rsidR="00091568">
          <w:rPr>
            <w:rFonts w:asciiTheme="minorHAnsi" w:eastAsiaTheme="minorEastAsia" w:hAnsiTheme="minorHAnsi" w:cstheme="minorBidi"/>
            <w:noProof/>
            <w:sz w:val="22"/>
            <w:szCs w:val="22"/>
            <w:lang w:val="en-GB" w:eastAsia="en-GB" w:bidi="ar-SA"/>
          </w:rPr>
          <w:tab/>
        </w:r>
        <w:r w:rsidR="00091568" w:rsidRPr="00D77C52">
          <w:rPr>
            <w:rStyle w:val="Hipercze"/>
            <w:noProof/>
          </w:rPr>
          <w:t>Zawieszenie realizacji działania przez beneficjentów</w:t>
        </w:r>
        <w:r w:rsidR="00091568">
          <w:rPr>
            <w:noProof/>
          </w:rPr>
          <w:tab/>
        </w:r>
        <w:r w:rsidR="00091568">
          <w:rPr>
            <w:noProof/>
          </w:rPr>
          <w:fldChar w:fldCharType="begin"/>
        </w:r>
        <w:r w:rsidR="00091568">
          <w:rPr>
            <w:noProof/>
          </w:rPr>
          <w:instrText xml:space="preserve"> PAGEREF _Toc30764042 \h </w:instrText>
        </w:r>
        <w:r w:rsidR="00091568">
          <w:rPr>
            <w:noProof/>
          </w:rPr>
        </w:r>
        <w:r w:rsidR="00091568">
          <w:rPr>
            <w:noProof/>
          </w:rPr>
          <w:fldChar w:fldCharType="separate"/>
        </w:r>
        <w:r w:rsidR="00091568">
          <w:rPr>
            <w:noProof/>
          </w:rPr>
          <w:t>17</w:t>
        </w:r>
        <w:r w:rsidR="00091568">
          <w:rPr>
            <w:noProof/>
          </w:rPr>
          <w:fldChar w:fldCharType="end"/>
        </w:r>
      </w:hyperlink>
    </w:p>
    <w:p w14:paraId="7652093E" w14:textId="77777777" w:rsidR="00091568" w:rsidRDefault="003511EF">
      <w:pPr>
        <w:pStyle w:val="Spistreci3"/>
        <w:tabs>
          <w:tab w:val="left" w:pos="2880"/>
        </w:tabs>
        <w:rPr>
          <w:rFonts w:asciiTheme="minorHAnsi" w:eastAsiaTheme="minorEastAsia" w:hAnsiTheme="minorHAnsi" w:cstheme="minorBidi"/>
          <w:noProof/>
          <w:sz w:val="22"/>
          <w:szCs w:val="22"/>
          <w:lang w:val="en-GB" w:eastAsia="en-GB" w:bidi="ar-SA"/>
        </w:rPr>
      </w:pPr>
      <w:hyperlink w:anchor="_Toc30764043" w:history="1">
        <w:r w:rsidR="00091568" w:rsidRPr="00D77C52">
          <w:rPr>
            <w:rStyle w:val="Hipercze"/>
            <w:noProof/>
          </w:rPr>
          <w:t>II.16.2</w:t>
        </w:r>
        <w:r w:rsidR="00091568">
          <w:rPr>
            <w:rFonts w:asciiTheme="minorHAnsi" w:eastAsiaTheme="minorEastAsia" w:hAnsiTheme="minorHAnsi" w:cstheme="minorBidi"/>
            <w:noProof/>
            <w:sz w:val="22"/>
            <w:szCs w:val="22"/>
            <w:lang w:val="en-GB" w:eastAsia="en-GB" w:bidi="ar-SA"/>
          </w:rPr>
          <w:tab/>
        </w:r>
        <w:r w:rsidR="00091568" w:rsidRPr="00D77C52">
          <w:rPr>
            <w:rStyle w:val="Hipercze"/>
            <w:noProof/>
          </w:rPr>
          <w:t>Zawieszenie realizacji działania przez Komisję</w:t>
        </w:r>
        <w:r w:rsidR="00091568">
          <w:rPr>
            <w:noProof/>
          </w:rPr>
          <w:tab/>
        </w:r>
        <w:r w:rsidR="00091568">
          <w:rPr>
            <w:noProof/>
          </w:rPr>
          <w:fldChar w:fldCharType="begin"/>
        </w:r>
        <w:r w:rsidR="00091568">
          <w:rPr>
            <w:noProof/>
          </w:rPr>
          <w:instrText xml:space="preserve"> PAGEREF _Toc30764043 \h </w:instrText>
        </w:r>
        <w:r w:rsidR="00091568">
          <w:rPr>
            <w:noProof/>
          </w:rPr>
        </w:r>
        <w:r w:rsidR="00091568">
          <w:rPr>
            <w:noProof/>
          </w:rPr>
          <w:fldChar w:fldCharType="separate"/>
        </w:r>
        <w:r w:rsidR="00091568">
          <w:rPr>
            <w:noProof/>
          </w:rPr>
          <w:t>17</w:t>
        </w:r>
        <w:r w:rsidR="00091568">
          <w:rPr>
            <w:noProof/>
          </w:rPr>
          <w:fldChar w:fldCharType="end"/>
        </w:r>
      </w:hyperlink>
    </w:p>
    <w:p w14:paraId="44398948" w14:textId="77777777" w:rsidR="00091568" w:rsidRDefault="003511EF">
      <w:pPr>
        <w:pStyle w:val="Spistreci3"/>
        <w:tabs>
          <w:tab w:val="left" w:pos="2880"/>
        </w:tabs>
        <w:rPr>
          <w:rFonts w:asciiTheme="minorHAnsi" w:eastAsiaTheme="minorEastAsia" w:hAnsiTheme="minorHAnsi" w:cstheme="minorBidi"/>
          <w:noProof/>
          <w:sz w:val="22"/>
          <w:szCs w:val="22"/>
          <w:lang w:val="en-GB" w:eastAsia="en-GB" w:bidi="ar-SA"/>
        </w:rPr>
      </w:pPr>
      <w:hyperlink w:anchor="_Toc30764044" w:history="1">
        <w:r w:rsidR="00091568" w:rsidRPr="00D77C52">
          <w:rPr>
            <w:rStyle w:val="Hipercze"/>
            <w:noProof/>
          </w:rPr>
          <w:t xml:space="preserve">II.16.3 </w:t>
        </w:r>
        <w:r w:rsidR="00091568">
          <w:rPr>
            <w:rFonts w:asciiTheme="minorHAnsi" w:eastAsiaTheme="minorEastAsia" w:hAnsiTheme="minorHAnsi" w:cstheme="minorBidi"/>
            <w:noProof/>
            <w:sz w:val="22"/>
            <w:szCs w:val="22"/>
            <w:lang w:val="en-GB" w:eastAsia="en-GB" w:bidi="ar-SA"/>
          </w:rPr>
          <w:tab/>
        </w:r>
        <w:r w:rsidR="00091568" w:rsidRPr="00D77C52">
          <w:rPr>
            <w:rStyle w:val="Hipercze"/>
            <w:noProof/>
          </w:rPr>
          <w:t>Skutki zawieszenia</w:t>
        </w:r>
        <w:r w:rsidR="00091568">
          <w:rPr>
            <w:noProof/>
          </w:rPr>
          <w:tab/>
        </w:r>
        <w:r w:rsidR="00091568">
          <w:rPr>
            <w:noProof/>
          </w:rPr>
          <w:fldChar w:fldCharType="begin"/>
        </w:r>
        <w:r w:rsidR="00091568">
          <w:rPr>
            <w:noProof/>
          </w:rPr>
          <w:instrText xml:space="preserve"> PAGEREF _Toc30764044 \h </w:instrText>
        </w:r>
        <w:r w:rsidR="00091568">
          <w:rPr>
            <w:noProof/>
          </w:rPr>
        </w:r>
        <w:r w:rsidR="00091568">
          <w:rPr>
            <w:noProof/>
          </w:rPr>
          <w:fldChar w:fldCharType="separate"/>
        </w:r>
        <w:r w:rsidR="00091568">
          <w:rPr>
            <w:noProof/>
          </w:rPr>
          <w:t>18</w:t>
        </w:r>
        <w:r w:rsidR="00091568">
          <w:rPr>
            <w:noProof/>
          </w:rPr>
          <w:fldChar w:fldCharType="end"/>
        </w:r>
      </w:hyperlink>
    </w:p>
    <w:p w14:paraId="6E546F70" w14:textId="77777777" w:rsidR="00091568" w:rsidRDefault="003511EF">
      <w:pPr>
        <w:pStyle w:val="Spistreci2"/>
        <w:rPr>
          <w:rFonts w:asciiTheme="minorHAnsi" w:eastAsiaTheme="minorEastAsia" w:hAnsiTheme="minorHAnsi" w:cstheme="minorBidi"/>
          <w:noProof/>
          <w:sz w:val="22"/>
          <w:szCs w:val="22"/>
          <w:lang w:val="en-GB" w:eastAsia="en-GB" w:bidi="ar-SA"/>
        </w:rPr>
      </w:pPr>
      <w:hyperlink w:anchor="_Toc30764045" w:history="1">
        <w:r w:rsidR="00091568" w:rsidRPr="00D77C52">
          <w:rPr>
            <w:rStyle w:val="Hipercze"/>
            <w:noProof/>
          </w:rPr>
          <w:t>Artykuł II.17 – Wypowiedzenie Umowy</w:t>
        </w:r>
        <w:r w:rsidR="00091568">
          <w:rPr>
            <w:noProof/>
          </w:rPr>
          <w:tab/>
        </w:r>
        <w:r w:rsidR="00091568">
          <w:rPr>
            <w:noProof/>
          </w:rPr>
          <w:fldChar w:fldCharType="begin"/>
        </w:r>
        <w:r w:rsidR="00091568">
          <w:rPr>
            <w:noProof/>
          </w:rPr>
          <w:instrText xml:space="preserve"> PAGEREF _Toc30764045 \h </w:instrText>
        </w:r>
        <w:r w:rsidR="00091568">
          <w:rPr>
            <w:noProof/>
          </w:rPr>
        </w:r>
        <w:r w:rsidR="00091568">
          <w:rPr>
            <w:noProof/>
          </w:rPr>
          <w:fldChar w:fldCharType="separate"/>
        </w:r>
        <w:r w:rsidR="00091568">
          <w:rPr>
            <w:noProof/>
          </w:rPr>
          <w:t>19</w:t>
        </w:r>
        <w:r w:rsidR="00091568">
          <w:rPr>
            <w:noProof/>
          </w:rPr>
          <w:fldChar w:fldCharType="end"/>
        </w:r>
      </w:hyperlink>
    </w:p>
    <w:p w14:paraId="38440530" w14:textId="77777777" w:rsidR="00091568" w:rsidRDefault="003511EF">
      <w:pPr>
        <w:pStyle w:val="Spistreci3"/>
        <w:tabs>
          <w:tab w:val="left" w:pos="2880"/>
        </w:tabs>
        <w:rPr>
          <w:rFonts w:asciiTheme="minorHAnsi" w:eastAsiaTheme="minorEastAsia" w:hAnsiTheme="minorHAnsi" w:cstheme="minorBidi"/>
          <w:noProof/>
          <w:sz w:val="22"/>
          <w:szCs w:val="22"/>
          <w:lang w:val="en-GB" w:eastAsia="en-GB" w:bidi="ar-SA"/>
        </w:rPr>
      </w:pPr>
      <w:hyperlink w:anchor="_Toc30764046" w:history="1">
        <w:r w:rsidR="00091568" w:rsidRPr="00D77C52">
          <w:rPr>
            <w:rStyle w:val="Hipercze"/>
            <w:noProof/>
          </w:rPr>
          <w:t>II.17.1</w:t>
        </w:r>
        <w:r w:rsidR="00091568">
          <w:rPr>
            <w:rFonts w:asciiTheme="minorHAnsi" w:eastAsiaTheme="minorEastAsia" w:hAnsiTheme="minorHAnsi" w:cstheme="minorBidi"/>
            <w:noProof/>
            <w:sz w:val="22"/>
            <w:szCs w:val="22"/>
            <w:lang w:val="en-GB" w:eastAsia="en-GB" w:bidi="ar-SA"/>
          </w:rPr>
          <w:tab/>
        </w:r>
        <w:r w:rsidR="00091568" w:rsidRPr="00D77C52">
          <w:rPr>
            <w:rStyle w:val="Hipercze"/>
            <w:noProof/>
          </w:rPr>
          <w:t>Wypowiedzenie Umowy przez koordynatora</w:t>
        </w:r>
        <w:r w:rsidR="00091568">
          <w:rPr>
            <w:noProof/>
          </w:rPr>
          <w:tab/>
        </w:r>
        <w:r w:rsidR="00091568">
          <w:rPr>
            <w:noProof/>
          </w:rPr>
          <w:fldChar w:fldCharType="begin"/>
        </w:r>
        <w:r w:rsidR="00091568">
          <w:rPr>
            <w:noProof/>
          </w:rPr>
          <w:instrText xml:space="preserve"> PAGEREF _Toc30764046 \h </w:instrText>
        </w:r>
        <w:r w:rsidR="00091568">
          <w:rPr>
            <w:noProof/>
          </w:rPr>
        </w:r>
        <w:r w:rsidR="00091568">
          <w:rPr>
            <w:noProof/>
          </w:rPr>
          <w:fldChar w:fldCharType="separate"/>
        </w:r>
        <w:r w:rsidR="00091568">
          <w:rPr>
            <w:noProof/>
          </w:rPr>
          <w:t>19</w:t>
        </w:r>
        <w:r w:rsidR="00091568">
          <w:rPr>
            <w:noProof/>
          </w:rPr>
          <w:fldChar w:fldCharType="end"/>
        </w:r>
      </w:hyperlink>
    </w:p>
    <w:p w14:paraId="2487D2B0" w14:textId="77777777" w:rsidR="00091568" w:rsidRDefault="003511EF">
      <w:pPr>
        <w:pStyle w:val="Spistreci3"/>
        <w:tabs>
          <w:tab w:val="left" w:pos="2880"/>
        </w:tabs>
        <w:rPr>
          <w:rFonts w:asciiTheme="minorHAnsi" w:eastAsiaTheme="minorEastAsia" w:hAnsiTheme="minorHAnsi" w:cstheme="minorBidi"/>
          <w:noProof/>
          <w:sz w:val="22"/>
          <w:szCs w:val="22"/>
          <w:lang w:val="en-GB" w:eastAsia="en-GB" w:bidi="ar-SA"/>
        </w:rPr>
      </w:pPr>
      <w:hyperlink w:anchor="_Toc30764047" w:history="1">
        <w:r w:rsidR="00091568" w:rsidRPr="00D77C52">
          <w:rPr>
            <w:rStyle w:val="Hipercze"/>
            <w:noProof/>
          </w:rPr>
          <w:t>II.17.2</w:t>
        </w:r>
        <w:r w:rsidR="00091568">
          <w:rPr>
            <w:rFonts w:asciiTheme="minorHAnsi" w:eastAsiaTheme="minorEastAsia" w:hAnsiTheme="minorHAnsi" w:cstheme="minorBidi"/>
            <w:noProof/>
            <w:sz w:val="22"/>
            <w:szCs w:val="22"/>
            <w:lang w:val="en-GB" w:eastAsia="en-GB" w:bidi="ar-SA"/>
          </w:rPr>
          <w:tab/>
        </w:r>
        <w:r w:rsidR="00091568" w:rsidRPr="00D77C52">
          <w:rPr>
            <w:rStyle w:val="Hipercze"/>
            <w:noProof/>
          </w:rPr>
          <w:t>Wypowiedzenie udziału jednego beneficjenta lub większej ich liczby przez koordynatora</w:t>
        </w:r>
        <w:r w:rsidR="00091568">
          <w:rPr>
            <w:noProof/>
          </w:rPr>
          <w:tab/>
        </w:r>
        <w:r w:rsidR="00091568">
          <w:rPr>
            <w:noProof/>
          </w:rPr>
          <w:fldChar w:fldCharType="begin"/>
        </w:r>
        <w:r w:rsidR="00091568">
          <w:rPr>
            <w:noProof/>
          </w:rPr>
          <w:instrText xml:space="preserve"> PAGEREF _Toc30764047 \h </w:instrText>
        </w:r>
        <w:r w:rsidR="00091568">
          <w:rPr>
            <w:noProof/>
          </w:rPr>
        </w:r>
        <w:r w:rsidR="00091568">
          <w:rPr>
            <w:noProof/>
          </w:rPr>
          <w:fldChar w:fldCharType="separate"/>
        </w:r>
        <w:r w:rsidR="00091568">
          <w:rPr>
            <w:noProof/>
          </w:rPr>
          <w:t>19</w:t>
        </w:r>
        <w:r w:rsidR="00091568">
          <w:rPr>
            <w:noProof/>
          </w:rPr>
          <w:fldChar w:fldCharType="end"/>
        </w:r>
      </w:hyperlink>
    </w:p>
    <w:p w14:paraId="09AA7206" w14:textId="77777777" w:rsidR="00091568" w:rsidRDefault="003511EF">
      <w:pPr>
        <w:pStyle w:val="Spistreci3"/>
        <w:tabs>
          <w:tab w:val="left" w:pos="2880"/>
        </w:tabs>
        <w:rPr>
          <w:rFonts w:asciiTheme="minorHAnsi" w:eastAsiaTheme="minorEastAsia" w:hAnsiTheme="minorHAnsi" w:cstheme="minorBidi"/>
          <w:noProof/>
          <w:sz w:val="22"/>
          <w:szCs w:val="22"/>
          <w:lang w:val="en-GB" w:eastAsia="en-GB" w:bidi="ar-SA"/>
        </w:rPr>
      </w:pPr>
      <w:hyperlink w:anchor="_Toc30764048" w:history="1">
        <w:r w:rsidR="00091568" w:rsidRPr="00D77C52">
          <w:rPr>
            <w:rStyle w:val="Hipercze"/>
            <w:noProof/>
          </w:rPr>
          <w:t>II.17.3</w:t>
        </w:r>
        <w:r w:rsidR="00091568">
          <w:rPr>
            <w:rFonts w:asciiTheme="minorHAnsi" w:eastAsiaTheme="minorEastAsia" w:hAnsiTheme="minorHAnsi" w:cstheme="minorBidi"/>
            <w:noProof/>
            <w:sz w:val="22"/>
            <w:szCs w:val="22"/>
            <w:lang w:val="en-GB" w:eastAsia="en-GB" w:bidi="ar-SA"/>
          </w:rPr>
          <w:tab/>
        </w:r>
        <w:r w:rsidR="00091568" w:rsidRPr="00D77C52">
          <w:rPr>
            <w:rStyle w:val="Hipercze"/>
            <w:noProof/>
          </w:rPr>
          <w:t>Wypowiedzenie Umowy lub udziału beneficjenta lub większej liczby beneficjentów przez Komisję</w:t>
        </w:r>
        <w:r w:rsidR="00091568">
          <w:rPr>
            <w:noProof/>
          </w:rPr>
          <w:tab/>
        </w:r>
        <w:r w:rsidR="00091568">
          <w:rPr>
            <w:noProof/>
          </w:rPr>
          <w:fldChar w:fldCharType="begin"/>
        </w:r>
        <w:r w:rsidR="00091568">
          <w:rPr>
            <w:noProof/>
          </w:rPr>
          <w:instrText xml:space="preserve"> PAGEREF _Toc30764048 \h </w:instrText>
        </w:r>
        <w:r w:rsidR="00091568">
          <w:rPr>
            <w:noProof/>
          </w:rPr>
        </w:r>
        <w:r w:rsidR="00091568">
          <w:rPr>
            <w:noProof/>
          </w:rPr>
          <w:fldChar w:fldCharType="separate"/>
        </w:r>
        <w:r w:rsidR="00091568">
          <w:rPr>
            <w:noProof/>
          </w:rPr>
          <w:t>20</w:t>
        </w:r>
        <w:r w:rsidR="00091568">
          <w:rPr>
            <w:noProof/>
          </w:rPr>
          <w:fldChar w:fldCharType="end"/>
        </w:r>
      </w:hyperlink>
    </w:p>
    <w:p w14:paraId="6AE4F99D" w14:textId="77777777" w:rsidR="00091568" w:rsidRDefault="003511EF">
      <w:pPr>
        <w:pStyle w:val="Spistreci3"/>
        <w:tabs>
          <w:tab w:val="left" w:pos="2880"/>
        </w:tabs>
        <w:rPr>
          <w:rFonts w:asciiTheme="minorHAnsi" w:eastAsiaTheme="minorEastAsia" w:hAnsiTheme="minorHAnsi" w:cstheme="minorBidi"/>
          <w:noProof/>
          <w:sz w:val="22"/>
          <w:szCs w:val="22"/>
          <w:lang w:val="en-GB" w:eastAsia="en-GB" w:bidi="ar-SA"/>
        </w:rPr>
      </w:pPr>
      <w:hyperlink w:anchor="_Toc30764049" w:history="1">
        <w:r w:rsidR="00091568" w:rsidRPr="00D77C52">
          <w:rPr>
            <w:rStyle w:val="Hipercze"/>
            <w:noProof/>
          </w:rPr>
          <w:t>II.17.4</w:t>
        </w:r>
        <w:r w:rsidR="00091568">
          <w:rPr>
            <w:rFonts w:asciiTheme="minorHAnsi" w:eastAsiaTheme="minorEastAsia" w:hAnsiTheme="minorHAnsi" w:cstheme="minorBidi"/>
            <w:noProof/>
            <w:sz w:val="22"/>
            <w:szCs w:val="22"/>
            <w:lang w:val="en-GB" w:eastAsia="en-GB" w:bidi="ar-SA"/>
          </w:rPr>
          <w:tab/>
        </w:r>
        <w:r w:rsidR="00091568" w:rsidRPr="00D77C52">
          <w:rPr>
            <w:rStyle w:val="Hipercze"/>
            <w:noProof/>
          </w:rPr>
          <w:t>Skutki wypowiedzenia</w:t>
        </w:r>
        <w:r w:rsidR="00091568">
          <w:rPr>
            <w:noProof/>
          </w:rPr>
          <w:tab/>
        </w:r>
        <w:r w:rsidR="00091568">
          <w:rPr>
            <w:noProof/>
          </w:rPr>
          <w:fldChar w:fldCharType="begin"/>
        </w:r>
        <w:r w:rsidR="00091568">
          <w:rPr>
            <w:noProof/>
          </w:rPr>
          <w:instrText xml:space="preserve"> PAGEREF _Toc30764049 \h </w:instrText>
        </w:r>
        <w:r w:rsidR="00091568">
          <w:rPr>
            <w:noProof/>
          </w:rPr>
        </w:r>
        <w:r w:rsidR="00091568">
          <w:rPr>
            <w:noProof/>
          </w:rPr>
          <w:fldChar w:fldCharType="separate"/>
        </w:r>
        <w:r w:rsidR="00091568">
          <w:rPr>
            <w:noProof/>
          </w:rPr>
          <w:t>22</w:t>
        </w:r>
        <w:r w:rsidR="00091568">
          <w:rPr>
            <w:noProof/>
          </w:rPr>
          <w:fldChar w:fldCharType="end"/>
        </w:r>
      </w:hyperlink>
    </w:p>
    <w:p w14:paraId="6D48E708" w14:textId="77777777" w:rsidR="00091568" w:rsidRDefault="003511EF">
      <w:pPr>
        <w:pStyle w:val="Spistreci2"/>
        <w:rPr>
          <w:rFonts w:asciiTheme="minorHAnsi" w:eastAsiaTheme="minorEastAsia" w:hAnsiTheme="minorHAnsi" w:cstheme="minorBidi"/>
          <w:noProof/>
          <w:sz w:val="22"/>
          <w:szCs w:val="22"/>
          <w:lang w:val="en-GB" w:eastAsia="en-GB" w:bidi="ar-SA"/>
        </w:rPr>
      </w:pPr>
      <w:hyperlink w:anchor="_Toc30764050" w:history="1">
        <w:r w:rsidR="00091568" w:rsidRPr="00D77C52">
          <w:rPr>
            <w:rStyle w:val="Hipercze"/>
            <w:noProof/>
          </w:rPr>
          <w:t>Artykuł II.18 – Prawo właściwe, rozstrzyganie sporów oraz decyzje stanowiące tytuł egzekucyjny</w:t>
        </w:r>
        <w:r w:rsidR="00091568">
          <w:rPr>
            <w:noProof/>
          </w:rPr>
          <w:tab/>
        </w:r>
        <w:r w:rsidR="00091568">
          <w:rPr>
            <w:noProof/>
          </w:rPr>
          <w:fldChar w:fldCharType="begin"/>
        </w:r>
        <w:r w:rsidR="00091568">
          <w:rPr>
            <w:noProof/>
          </w:rPr>
          <w:instrText xml:space="preserve"> PAGEREF _Toc30764050 \h </w:instrText>
        </w:r>
        <w:r w:rsidR="00091568">
          <w:rPr>
            <w:noProof/>
          </w:rPr>
        </w:r>
        <w:r w:rsidR="00091568">
          <w:rPr>
            <w:noProof/>
          </w:rPr>
          <w:fldChar w:fldCharType="separate"/>
        </w:r>
        <w:r w:rsidR="00091568">
          <w:rPr>
            <w:noProof/>
          </w:rPr>
          <w:t>24</w:t>
        </w:r>
        <w:r w:rsidR="00091568">
          <w:rPr>
            <w:noProof/>
          </w:rPr>
          <w:fldChar w:fldCharType="end"/>
        </w:r>
      </w:hyperlink>
    </w:p>
    <w:p w14:paraId="20D4066F" w14:textId="77777777" w:rsidR="00091568" w:rsidRDefault="003511EF">
      <w:pPr>
        <w:pStyle w:val="Spistreci1"/>
        <w:rPr>
          <w:rFonts w:asciiTheme="minorHAnsi" w:eastAsiaTheme="minorEastAsia" w:hAnsiTheme="minorHAnsi" w:cstheme="minorBidi"/>
          <w:b w:val="0"/>
          <w:caps w:val="0"/>
          <w:noProof/>
          <w:sz w:val="22"/>
          <w:szCs w:val="22"/>
          <w:lang w:val="en-GB" w:eastAsia="en-GB" w:bidi="ar-SA"/>
        </w:rPr>
      </w:pPr>
      <w:hyperlink w:anchor="_Toc30764051" w:history="1">
        <w:r w:rsidR="00091568" w:rsidRPr="00D77C52">
          <w:rPr>
            <w:rStyle w:val="Hipercze"/>
            <w:noProof/>
          </w:rPr>
          <w:t>CZĘŚĆ B – POSTANOWIENIA FINANSOWE</w:t>
        </w:r>
        <w:r w:rsidR="00091568">
          <w:rPr>
            <w:noProof/>
          </w:rPr>
          <w:tab/>
        </w:r>
        <w:r w:rsidR="00091568">
          <w:rPr>
            <w:noProof/>
          </w:rPr>
          <w:fldChar w:fldCharType="begin"/>
        </w:r>
        <w:r w:rsidR="00091568">
          <w:rPr>
            <w:noProof/>
          </w:rPr>
          <w:instrText xml:space="preserve"> PAGEREF _Toc30764051 \h </w:instrText>
        </w:r>
        <w:r w:rsidR="00091568">
          <w:rPr>
            <w:noProof/>
          </w:rPr>
        </w:r>
        <w:r w:rsidR="00091568">
          <w:rPr>
            <w:noProof/>
          </w:rPr>
          <w:fldChar w:fldCharType="separate"/>
        </w:r>
        <w:r w:rsidR="00091568">
          <w:rPr>
            <w:noProof/>
          </w:rPr>
          <w:t>25</w:t>
        </w:r>
        <w:r w:rsidR="00091568">
          <w:rPr>
            <w:noProof/>
          </w:rPr>
          <w:fldChar w:fldCharType="end"/>
        </w:r>
      </w:hyperlink>
    </w:p>
    <w:p w14:paraId="010792CA" w14:textId="77777777" w:rsidR="00091568" w:rsidRDefault="003511EF">
      <w:pPr>
        <w:pStyle w:val="Spistreci2"/>
        <w:rPr>
          <w:rFonts w:asciiTheme="minorHAnsi" w:eastAsiaTheme="minorEastAsia" w:hAnsiTheme="minorHAnsi" w:cstheme="minorBidi"/>
          <w:noProof/>
          <w:sz w:val="22"/>
          <w:szCs w:val="22"/>
          <w:lang w:val="en-GB" w:eastAsia="en-GB" w:bidi="ar-SA"/>
        </w:rPr>
      </w:pPr>
      <w:hyperlink w:anchor="_Toc30764052" w:history="1">
        <w:r w:rsidR="00091568" w:rsidRPr="00D77C52">
          <w:rPr>
            <w:rStyle w:val="Hipercze"/>
            <w:noProof/>
          </w:rPr>
          <w:t>Artykuł II.19 – Koszty kwalifikowalne</w:t>
        </w:r>
        <w:r w:rsidR="00091568">
          <w:rPr>
            <w:noProof/>
          </w:rPr>
          <w:tab/>
        </w:r>
        <w:r w:rsidR="00091568">
          <w:rPr>
            <w:noProof/>
          </w:rPr>
          <w:fldChar w:fldCharType="begin"/>
        </w:r>
        <w:r w:rsidR="00091568">
          <w:rPr>
            <w:noProof/>
          </w:rPr>
          <w:instrText xml:space="preserve"> PAGEREF _Toc30764052 \h </w:instrText>
        </w:r>
        <w:r w:rsidR="00091568">
          <w:rPr>
            <w:noProof/>
          </w:rPr>
        </w:r>
        <w:r w:rsidR="00091568">
          <w:rPr>
            <w:noProof/>
          </w:rPr>
          <w:fldChar w:fldCharType="separate"/>
        </w:r>
        <w:r w:rsidR="00091568">
          <w:rPr>
            <w:noProof/>
          </w:rPr>
          <w:t>25</w:t>
        </w:r>
        <w:r w:rsidR="00091568">
          <w:rPr>
            <w:noProof/>
          </w:rPr>
          <w:fldChar w:fldCharType="end"/>
        </w:r>
      </w:hyperlink>
    </w:p>
    <w:p w14:paraId="1A970748" w14:textId="77777777" w:rsidR="00091568" w:rsidRDefault="003511EF">
      <w:pPr>
        <w:pStyle w:val="Spistreci3"/>
        <w:tabs>
          <w:tab w:val="left" w:pos="2880"/>
        </w:tabs>
        <w:rPr>
          <w:rFonts w:asciiTheme="minorHAnsi" w:eastAsiaTheme="minorEastAsia" w:hAnsiTheme="minorHAnsi" w:cstheme="minorBidi"/>
          <w:noProof/>
          <w:sz w:val="22"/>
          <w:szCs w:val="22"/>
          <w:lang w:val="en-GB" w:eastAsia="en-GB" w:bidi="ar-SA"/>
        </w:rPr>
      </w:pPr>
      <w:hyperlink w:anchor="_Toc30764053" w:history="1">
        <w:r w:rsidR="00091568" w:rsidRPr="00D77C52">
          <w:rPr>
            <w:rStyle w:val="Hipercze"/>
            <w:noProof/>
          </w:rPr>
          <w:t>II.19.1</w:t>
        </w:r>
        <w:r w:rsidR="00091568">
          <w:rPr>
            <w:rFonts w:asciiTheme="minorHAnsi" w:eastAsiaTheme="minorEastAsia" w:hAnsiTheme="minorHAnsi" w:cstheme="minorBidi"/>
            <w:noProof/>
            <w:sz w:val="22"/>
            <w:szCs w:val="22"/>
            <w:lang w:val="en-GB" w:eastAsia="en-GB" w:bidi="ar-SA"/>
          </w:rPr>
          <w:tab/>
        </w:r>
        <w:r w:rsidR="00091568" w:rsidRPr="00D77C52">
          <w:rPr>
            <w:rStyle w:val="Hipercze"/>
            <w:noProof/>
          </w:rPr>
          <w:t>Warunki kwalifikowalności kosztów</w:t>
        </w:r>
        <w:r w:rsidR="00091568">
          <w:rPr>
            <w:noProof/>
          </w:rPr>
          <w:tab/>
        </w:r>
        <w:r w:rsidR="00091568">
          <w:rPr>
            <w:noProof/>
          </w:rPr>
          <w:fldChar w:fldCharType="begin"/>
        </w:r>
        <w:r w:rsidR="00091568">
          <w:rPr>
            <w:noProof/>
          </w:rPr>
          <w:instrText xml:space="preserve"> PAGEREF _Toc30764053 \h </w:instrText>
        </w:r>
        <w:r w:rsidR="00091568">
          <w:rPr>
            <w:noProof/>
          </w:rPr>
        </w:r>
        <w:r w:rsidR="00091568">
          <w:rPr>
            <w:noProof/>
          </w:rPr>
          <w:fldChar w:fldCharType="separate"/>
        </w:r>
        <w:r w:rsidR="00091568">
          <w:rPr>
            <w:noProof/>
          </w:rPr>
          <w:t>25</w:t>
        </w:r>
        <w:r w:rsidR="00091568">
          <w:rPr>
            <w:noProof/>
          </w:rPr>
          <w:fldChar w:fldCharType="end"/>
        </w:r>
      </w:hyperlink>
    </w:p>
    <w:p w14:paraId="2EFF1BF7" w14:textId="77777777" w:rsidR="00091568" w:rsidRDefault="003511EF">
      <w:pPr>
        <w:pStyle w:val="Spistreci3"/>
        <w:tabs>
          <w:tab w:val="left" w:pos="2880"/>
        </w:tabs>
        <w:rPr>
          <w:rFonts w:asciiTheme="minorHAnsi" w:eastAsiaTheme="minorEastAsia" w:hAnsiTheme="minorHAnsi" w:cstheme="minorBidi"/>
          <w:noProof/>
          <w:sz w:val="22"/>
          <w:szCs w:val="22"/>
          <w:lang w:val="en-GB" w:eastAsia="en-GB" w:bidi="ar-SA"/>
        </w:rPr>
      </w:pPr>
      <w:hyperlink w:anchor="_Toc30764054" w:history="1">
        <w:r w:rsidR="00091568" w:rsidRPr="00D77C52">
          <w:rPr>
            <w:rStyle w:val="Hipercze"/>
            <w:noProof/>
          </w:rPr>
          <w:t>II.19.2</w:t>
        </w:r>
        <w:r w:rsidR="00091568">
          <w:rPr>
            <w:rFonts w:asciiTheme="minorHAnsi" w:eastAsiaTheme="minorEastAsia" w:hAnsiTheme="minorHAnsi" w:cstheme="minorBidi"/>
            <w:noProof/>
            <w:sz w:val="22"/>
            <w:szCs w:val="22"/>
            <w:lang w:val="en-GB" w:eastAsia="en-GB" w:bidi="ar-SA"/>
          </w:rPr>
          <w:tab/>
        </w:r>
        <w:r w:rsidR="00091568" w:rsidRPr="00D77C52">
          <w:rPr>
            <w:rStyle w:val="Hipercze"/>
            <w:noProof/>
          </w:rPr>
          <w:t>Kwalifikowalne koszty bezpośrednie</w:t>
        </w:r>
        <w:r w:rsidR="00091568">
          <w:rPr>
            <w:noProof/>
          </w:rPr>
          <w:tab/>
        </w:r>
        <w:r w:rsidR="00091568">
          <w:rPr>
            <w:noProof/>
          </w:rPr>
          <w:fldChar w:fldCharType="begin"/>
        </w:r>
        <w:r w:rsidR="00091568">
          <w:rPr>
            <w:noProof/>
          </w:rPr>
          <w:instrText xml:space="preserve"> PAGEREF _Toc30764054 \h </w:instrText>
        </w:r>
        <w:r w:rsidR="00091568">
          <w:rPr>
            <w:noProof/>
          </w:rPr>
        </w:r>
        <w:r w:rsidR="00091568">
          <w:rPr>
            <w:noProof/>
          </w:rPr>
          <w:fldChar w:fldCharType="separate"/>
        </w:r>
        <w:r w:rsidR="00091568">
          <w:rPr>
            <w:noProof/>
          </w:rPr>
          <w:t>25</w:t>
        </w:r>
        <w:r w:rsidR="00091568">
          <w:rPr>
            <w:noProof/>
          </w:rPr>
          <w:fldChar w:fldCharType="end"/>
        </w:r>
      </w:hyperlink>
    </w:p>
    <w:p w14:paraId="0BE0AAAA" w14:textId="77777777" w:rsidR="00091568" w:rsidRDefault="003511EF">
      <w:pPr>
        <w:pStyle w:val="Spistreci3"/>
        <w:tabs>
          <w:tab w:val="left" w:pos="2880"/>
        </w:tabs>
        <w:rPr>
          <w:rFonts w:asciiTheme="minorHAnsi" w:eastAsiaTheme="minorEastAsia" w:hAnsiTheme="minorHAnsi" w:cstheme="minorBidi"/>
          <w:noProof/>
          <w:sz w:val="22"/>
          <w:szCs w:val="22"/>
          <w:lang w:val="en-GB" w:eastAsia="en-GB" w:bidi="ar-SA"/>
        </w:rPr>
      </w:pPr>
      <w:hyperlink w:anchor="_Toc30764055" w:history="1">
        <w:r w:rsidR="00091568" w:rsidRPr="00D77C52">
          <w:rPr>
            <w:rStyle w:val="Hipercze"/>
            <w:noProof/>
          </w:rPr>
          <w:t>II.19.3</w:t>
        </w:r>
        <w:r w:rsidR="00091568">
          <w:rPr>
            <w:rFonts w:asciiTheme="minorHAnsi" w:eastAsiaTheme="minorEastAsia" w:hAnsiTheme="minorHAnsi" w:cstheme="minorBidi"/>
            <w:noProof/>
            <w:sz w:val="22"/>
            <w:szCs w:val="22"/>
            <w:lang w:val="en-GB" w:eastAsia="en-GB" w:bidi="ar-SA"/>
          </w:rPr>
          <w:tab/>
        </w:r>
        <w:r w:rsidR="00091568" w:rsidRPr="00D77C52">
          <w:rPr>
            <w:rStyle w:val="Hipercze"/>
            <w:noProof/>
          </w:rPr>
          <w:t>Kwalifikowalne koszty pośrednie</w:t>
        </w:r>
        <w:r w:rsidR="00091568">
          <w:rPr>
            <w:noProof/>
          </w:rPr>
          <w:tab/>
        </w:r>
        <w:r w:rsidR="00091568">
          <w:rPr>
            <w:noProof/>
          </w:rPr>
          <w:fldChar w:fldCharType="begin"/>
        </w:r>
        <w:r w:rsidR="00091568">
          <w:rPr>
            <w:noProof/>
          </w:rPr>
          <w:instrText xml:space="preserve"> PAGEREF _Toc30764055 \h </w:instrText>
        </w:r>
        <w:r w:rsidR="00091568">
          <w:rPr>
            <w:noProof/>
          </w:rPr>
        </w:r>
        <w:r w:rsidR="00091568">
          <w:rPr>
            <w:noProof/>
          </w:rPr>
          <w:fldChar w:fldCharType="separate"/>
        </w:r>
        <w:r w:rsidR="00091568">
          <w:rPr>
            <w:noProof/>
          </w:rPr>
          <w:t>27</w:t>
        </w:r>
        <w:r w:rsidR="00091568">
          <w:rPr>
            <w:noProof/>
          </w:rPr>
          <w:fldChar w:fldCharType="end"/>
        </w:r>
      </w:hyperlink>
    </w:p>
    <w:p w14:paraId="44FFE202" w14:textId="77777777" w:rsidR="00091568" w:rsidRDefault="003511EF">
      <w:pPr>
        <w:pStyle w:val="Spistreci3"/>
        <w:tabs>
          <w:tab w:val="left" w:pos="2880"/>
        </w:tabs>
        <w:rPr>
          <w:rFonts w:asciiTheme="minorHAnsi" w:eastAsiaTheme="minorEastAsia" w:hAnsiTheme="minorHAnsi" w:cstheme="minorBidi"/>
          <w:noProof/>
          <w:sz w:val="22"/>
          <w:szCs w:val="22"/>
          <w:lang w:val="en-GB" w:eastAsia="en-GB" w:bidi="ar-SA"/>
        </w:rPr>
      </w:pPr>
      <w:hyperlink w:anchor="_Toc30764056" w:history="1">
        <w:r w:rsidR="00091568" w:rsidRPr="00D77C52">
          <w:rPr>
            <w:rStyle w:val="Hipercze"/>
            <w:noProof/>
          </w:rPr>
          <w:t>II.19.4</w:t>
        </w:r>
        <w:r w:rsidR="00091568">
          <w:rPr>
            <w:rFonts w:asciiTheme="minorHAnsi" w:eastAsiaTheme="minorEastAsia" w:hAnsiTheme="minorHAnsi" w:cstheme="minorBidi"/>
            <w:noProof/>
            <w:sz w:val="22"/>
            <w:szCs w:val="22"/>
            <w:lang w:val="en-GB" w:eastAsia="en-GB" w:bidi="ar-SA"/>
          </w:rPr>
          <w:tab/>
        </w:r>
        <w:r w:rsidR="00091568" w:rsidRPr="00D77C52">
          <w:rPr>
            <w:rStyle w:val="Hipercze"/>
            <w:noProof/>
          </w:rPr>
          <w:t xml:space="preserve"> Koszty niekwalifikowalne</w:t>
        </w:r>
        <w:r w:rsidR="00091568">
          <w:rPr>
            <w:noProof/>
          </w:rPr>
          <w:tab/>
        </w:r>
        <w:r w:rsidR="00091568">
          <w:rPr>
            <w:noProof/>
          </w:rPr>
          <w:fldChar w:fldCharType="begin"/>
        </w:r>
        <w:r w:rsidR="00091568">
          <w:rPr>
            <w:noProof/>
          </w:rPr>
          <w:instrText xml:space="preserve"> PAGEREF _Toc30764056 \h </w:instrText>
        </w:r>
        <w:r w:rsidR="00091568">
          <w:rPr>
            <w:noProof/>
          </w:rPr>
        </w:r>
        <w:r w:rsidR="00091568">
          <w:rPr>
            <w:noProof/>
          </w:rPr>
          <w:fldChar w:fldCharType="separate"/>
        </w:r>
        <w:r w:rsidR="00091568">
          <w:rPr>
            <w:noProof/>
          </w:rPr>
          <w:t>27</w:t>
        </w:r>
        <w:r w:rsidR="00091568">
          <w:rPr>
            <w:noProof/>
          </w:rPr>
          <w:fldChar w:fldCharType="end"/>
        </w:r>
      </w:hyperlink>
    </w:p>
    <w:p w14:paraId="278E494C" w14:textId="77777777" w:rsidR="00091568" w:rsidRDefault="003511EF">
      <w:pPr>
        <w:pStyle w:val="Spistreci2"/>
        <w:rPr>
          <w:rFonts w:asciiTheme="minorHAnsi" w:eastAsiaTheme="minorEastAsia" w:hAnsiTheme="minorHAnsi" w:cstheme="minorBidi"/>
          <w:noProof/>
          <w:sz w:val="22"/>
          <w:szCs w:val="22"/>
          <w:lang w:val="en-GB" w:eastAsia="en-GB" w:bidi="ar-SA"/>
        </w:rPr>
      </w:pPr>
      <w:hyperlink w:anchor="_Toc30764057" w:history="1">
        <w:r w:rsidR="00091568" w:rsidRPr="00D77C52">
          <w:rPr>
            <w:rStyle w:val="Hipercze"/>
            <w:noProof/>
          </w:rPr>
          <w:t>Artykuł II.20 – Możliwość wskazania i zweryfikowania zadeklarowanych kwot</w:t>
        </w:r>
        <w:r w:rsidR="00091568">
          <w:rPr>
            <w:noProof/>
          </w:rPr>
          <w:tab/>
        </w:r>
        <w:r w:rsidR="00091568">
          <w:rPr>
            <w:noProof/>
          </w:rPr>
          <w:fldChar w:fldCharType="begin"/>
        </w:r>
        <w:r w:rsidR="00091568">
          <w:rPr>
            <w:noProof/>
          </w:rPr>
          <w:instrText xml:space="preserve"> PAGEREF _Toc30764057 \h </w:instrText>
        </w:r>
        <w:r w:rsidR="00091568">
          <w:rPr>
            <w:noProof/>
          </w:rPr>
        </w:r>
        <w:r w:rsidR="00091568">
          <w:rPr>
            <w:noProof/>
          </w:rPr>
          <w:fldChar w:fldCharType="separate"/>
        </w:r>
        <w:r w:rsidR="00091568">
          <w:rPr>
            <w:noProof/>
          </w:rPr>
          <w:t>27</w:t>
        </w:r>
        <w:r w:rsidR="00091568">
          <w:rPr>
            <w:noProof/>
          </w:rPr>
          <w:fldChar w:fldCharType="end"/>
        </w:r>
      </w:hyperlink>
    </w:p>
    <w:p w14:paraId="189EAD3F" w14:textId="77777777" w:rsidR="00091568" w:rsidRDefault="003511EF">
      <w:pPr>
        <w:pStyle w:val="Spistreci3"/>
        <w:tabs>
          <w:tab w:val="left" w:pos="2880"/>
        </w:tabs>
        <w:rPr>
          <w:rFonts w:asciiTheme="minorHAnsi" w:eastAsiaTheme="minorEastAsia" w:hAnsiTheme="minorHAnsi" w:cstheme="minorBidi"/>
          <w:noProof/>
          <w:sz w:val="22"/>
          <w:szCs w:val="22"/>
          <w:lang w:val="en-GB" w:eastAsia="en-GB" w:bidi="ar-SA"/>
        </w:rPr>
      </w:pPr>
      <w:hyperlink w:anchor="_Toc30764058" w:history="1">
        <w:r w:rsidR="00091568" w:rsidRPr="00D77C52">
          <w:rPr>
            <w:rStyle w:val="Hipercze"/>
            <w:noProof/>
          </w:rPr>
          <w:t xml:space="preserve">II.20.1 </w:t>
        </w:r>
        <w:r w:rsidR="00091568">
          <w:rPr>
            <w:rFonts w:asciiTheme="minorHAnsi" w:eastAsiaTheme="minorEastAsia" w:hAnsiTheme="minorHAnsi" w:cstheme="minorBidi"/>
            <w:noProof/>
            <w:sz w:val="22"/>
            <w:szCs w:val="22"/>
            <w:lang w:val="en-GB" w:eastAsia="en-GB" w:bidi="ar-SA"/>
          </w:rPr>
          <w:tab/>
        </w:r>
        <w:r w:rsidR="00091568" w:rsidRPr="00D77C52">
          <w:rPr>
            <w:rStyle w:val="Hipercze"/>
            <w:noProof/>
          </w:rPr>
          <w:t>Deklarowanie kosztów i wkładów</w:t>
        </w:r>
        <w:r w:rsidR="00091568">
          <w:rPr>
            <w:noProof/>
          </w:rPr>
          <w:tab/>
        </w:r>
        <w:r w:rsidR="00091568">
          <w:rPr>
            <w:noProof/>
          </w:rPr>
          <w:fldChar w:fldCharType="begin"/>
        </w:r>
        <w:r w:rsidR="00091568">
          <w:rPr>
            <w:noProof/>
          </w:rPr>
          <w:instrText xml:space="preserve"> PAGEREF _Toc30764058 \h </w:instrText>
        </w:r>
        <w:r w:rsidR="00091568">
          <w:rPr>
            <w:noProof/>
          </w:rPr>
        </w:r>
        <w:r w:rsidR="00091568">
          <w:rPr>
            <w:noProof/>
          </w:rPr>
          <w:fldChar w:fldCharType="separate"/>
        </w:r>
        <w:r w:rsidR="00091568">
          <w:rPr>
            <w:noProof/>
          </w:rPr>
          <w:t>27</w:t>
        </w:r>
        <w:r w:rsidR="00091568">
          <w:rPr>
            <w:noProof/>
          </w:rPr>
          <w:fldChar w:fldCharType="end"/>
        </w:r>
      </w:hyperlink>
    </w:p>
    <w:p w14:paraId="1A690C0D" w14:textId="77777777" w:rsidR="00091568" w:rsidRDefault="003511EF">
      <w:pPr>
        <w:pStyle w:val="Spistreci3"/>
        <w:tabs>
          <w:tab w:val="left" w:pos="2880"/>
        </w:tabs>
        <w:rPr>
          <w:rFonts w:asciiTheme="minorHAnsi" w:eastAsiaTheme="minorEastAsia" w:hAnsiTheme="minorHAnsi" w:cstheme="minorBidi"/>
          <w:noProof/>
          <w:sz w:val="22"/>
          <w:szCs w:val="22"/>
          <w:lang w:val="en-GB" w:eastAsia="en-GB" w:bidi="ar-SA"/>
        </w:rPr>
      </w:pPr>
      <w:hyperlink w:anchor="_Toc30764059" w:history="1">
        <w:r w:rsidR="00091568" w:rsidRPr="00D77C52">
          <w:rPr>
            <w:rStyle w:val="Hipercze"/>
            <w:noProof/>
          </w:rPr>
          <w:t>II.20.2</w:t>
        </w:r>
        <w:r w:rsidR="00091568">
          <w:rPr>
            <w:rFonts w:asciiTheme="minorHAnsi" w:eastAsiaTheme="minorEastAsia" w:hAnsiTheme="minorHAnsi" w:cstheme="minorBidi"/>
            <w:noProof/>
            <w:sz w:val="22"/>
            <w:szCs w:val="22"/>
            <w:lang w:val="en-GB" w:eastAsia="en-GB" w:bidi="ar-SA"/>
          </w:rPr>
          <w:tab/>
        </w:r>
        <w:r w:rsidR="00091568" w:rsidRPr="00D77C52">
          <w:rPr>
            <w:rStyle w:val="Hipercze"/>
            <w:noProof/>
          </w:rPr>
          <w:t>Księgi rachunkowe i inne dokumenty potwierdzające wysokość zadeklarowanych kosztów i wkładów</w:t>
        </w:r>
        <w:r w:rsidR="00091568">
          <w:rPr>
            <w:noProof/>
          </w:rPr>
          <w:tab/>
        </w:r>
        <w:r w:rsidR="00091568">
          <w:rPr>
            <w:noProof/>
          </w:rPr>
          <w:fldChar w:fldCharType="begin"/>
        </w:r>
        <w:r w:rsidR="00091568">
          <w:rPr>
            <w:noProof/>
          </w:rPr>
          <w:instrText xml:space="preserve"> PAGEREF _Toc30764059 \h </w:instrText>
        </w:r>
        <w:r w:rsidR="00091568">
          <w:rPr>
            <w:noProof/>
          </w:rPr>
        </w:r>
        <w:r w:rsidR="00091568">
          <w:rPr>
            <w:noProof/>
          </w:rPr>
          <w:fldChar w:fldCharType="separate"/>
        </w:r>
        <w:r w:rsidR="00091568">
          <w:rPr>
            <w:noProof/>
          </w:rPr>
          <w:t>28</w:t>
        </w:r>
        <w:r w:rsidR="00091568">
          <w:rPr>
            <w:noProof/>
          </w:rPr>
          <w:fldChar w:fldCharType="end"/>
        </w:r>
      </w:hyperlink>
    </w:p>
    <w:p w14:paraId="4B00111C" w14:textId="77777777" w:rsidR="00091568" w:rsidRDefault="003511EF">
      <w:pPr>
        <w:pStyle w:val="Spistreci3"/>
        <w:rPr>
          <w:rFonts w:asciiTheme="minorHAnsi" w:eastAsiaTheme="minorEastAsia" w:hAnsiTheme="minorHAnsi" w:cstheme="minorBidi"/>
          <w:noProof/>
          <w:sz w:val="22"/>
          <w:szCs w:val="22"/>
          <w:lang w:val="en-GB" w:eastAsia="en-GB" w:bidi="ar-SA"/>
        </w:rPr>
      </w:pPr>
      <w:hyperlink w:anchor="_Toc30764060" w:history="1">
        <w:r w:rsidR="00091568" w:rsidRPr="00D77C52">
          <w:rPr>
            <w:rStyle w:val="Hipercze"/>
            <w:noProof/>
          </w:rPr>
          <w:t>II.20.3 Warunki pozwalające ocenić zgodność praktyki księgowania kosztów</w:t>
        </w:r>
        <w:r w:rsidR="00091568">
          <w:rPr>
            <w:noProof/>
          </w:rPr>
          <w:tab/>
        </w:r>
        <w:r w:rsidR="00091568">
          <w:rPr>
            <w:noProof/>
          </w:rPr>
          <w:fldChar w:fldCharType="begin"/>
        </w:r>
        <w:r w:rsidR="00091568">
          <w:rPr>
            <w:noProof/>
          </w:rPr>
          <w:instrText xml:space="preserve"> PAGEREF _Toc30764060 \h </w:instrText>
        </w:r>
        <w:r w:rsidR="00091568">
          <w:rPr>
            <w:noProof/>
          </w:rPr>
        </w:r>
        <w:r w:rsidR="00091568">
          <w:rPr>
            <w:noProof/>
          </w:rPr>
          <w:fldChar w:fldCharType="separate"/>
        </w:r>
        <w:r w:rsidR="00091568">
          <w:rPr>
            <w:noProof/>
          </w:rPr>
          <w:t>29</w:t>
        </w:r>
        <w:r w:rsidR="00091568">
          <w:rPr>
            <w:noProof/>
          </w:rPr>
          <w:fldChar w:fldCharType="end"/>
        </w:r>
      </w:hyperlink>
    </w:p>
    <w:p w14:paraId="5C9D3676" w14:textId="77777777" w:rsidR="00091568" w:rsidRDefault="003511EF">
      <w:pPr>
        <w:pStyle w:val="Spistreci2"/>
        <w:rPr>
          <w:rFonts w:asciiTheme="minorHAnsi" w:eastAsiaTheme="minorEastAsia" w:hAnsiTheme="minorHAnsi" w:cstheme="minorBidi"/>
          <w:noProof/>
          <w:sz w:val="22"/>
          <w:szCs w:val="22"/>
          <w:lang w:val="en-GB" w:eastAsia="en-GB" w:bidi="ar-SA"/>
        </w:rPr>
      </w:pPr>
      <w:hyperlink w:anchor="_Toc30764061" w:history="1">
        <w:r w:rsidR="00091568" w:rsidRPr="00D77C52">
          <w:rPr>
            <w:rStyle w:val="Hipercze"/>
            <w:noProof/>
          </w:rPr>
          <w:t>Artykuł II.21 – Kwalifikowalność kosztów ponoszonych przez podmioty powiązane z beneficjentami</w:t>
        </w:r>
        <w:r w:rsidR="00091568">
          <w:rPr>
            <w:noProof/>
          </w:rPr>
          <w:tab/>
        </w:r>
        <w:r w:rsidR="00091568">
          <w:rPr>
            <w:noProof/>
          </w:rPr>
          <w:fldChar w:fldCharType="begin"/>
        </w:r>
        <w:r w:rsidR="00091568">
          <w:rPr>
            <w:noProof/>
          </w:rPr>
          <w:instrText xml:space="preserve"> PAGEREF _Toc30764061 \h </w:instrText>
        </w:r>
        <w:r w:rsidR="00091568">
          <w:rPr>
            <w:noProof/>
          </w:rPr>
        </w:r>
        <w:r w:rsidR="00091568">
          <w:rPr>
            <w:noProof/>
          </w:rPr>
          <w:fldChar w:fldCharType="separate"/>
        </w:r>
        <w:r w:rsidR="00091568">
          <w:rPr>
            <w:noProof/>
          </w:rPr>
          <w:t>30</w:t>
        </w:r>
        <w:r w:rsidR="00091568">
          <w:rPr>
            <w:noProof/>
          </w:rPr>
          <w:fldChar w:fldCharType="end"/>
        </w:r>
      </w:hyperlink>
    </w:p>
    <w:p w14:paraId="163F3E29" w14:textId="77777777" w:rsidR="00091568" w:rsidRDefault="003511EF">
      <w:pPr>
        <w:pStyle w:val="Spistreci2"/>
        <w:rPr>
          <w:rFonts w:asciiTheme="minorHAnsi" w:eastAsiaTheme="minorEastAsia" w:hAnsiTheme="minorHAnsi" w:cstheme="minorBidi"/>
          <w:noProof/>
          <w:sz w:val="22"/>
          <w:szCs w:val="22"/>
          <w:lang w:val="en-GB" w:eastAsia="en-GB" w:bidi="ar-SA"/>
        </w:rPr>
      </w:pPr>
      <w:hyperlink w:anchor="_Toc30764062" w:history="1">
        <w:r w:rsidR="00091568" w:rsidRPr="00D77C52">
          <w:rPr>
            <w:rStyle w:val="Hipercze"/>
            <w:noProof/>
          </w:rPr>
          <w:t>Artykuł II.22 – Przesunięcia budżetowe</w:t>
        </w:r>
        <w:r w:rsidR="00091568">
          <w:rPr>
            <w:noProof/>
          </w:rPr>
          <w:tab/>
        </w:r>
        <w:r w:rsidR="00091568">
          <w:rPr>
            <w:noProof/>
          </w:rPr>
          <w:fldChar w:fldCharType="begin"/>
        </w:r>
        <w:r w:rsidR="00091568">
          <w:rPr>
            <w:noProof/>
          </w:rPr>
          <w:instrText xml:space="preserve"> PAGEREF _Toc30764062 \h </w:instrText>
        </w:r>
        <w:r w:rsidR="00091568">
          <w:rPr>
            <w:noProof/>
          </w:rPr>
        </w:r>
        <w:r w:rsidR="00091568">
          <w:rPr>
            <w:noProof/>
          </w:rPr>
          <w:fldChar w:fldCharType="separate"/>
        </w:r>
        <w:r w:rsidR="00091568">
          <w:rPr>
            <w:noProof/>
          </w:rPr>
          <w:t>30</w:t>
        </w:r>
        <w:r w:rsidR="00091568">
          <w:rPr>
            <w:noProof/>
          </w:rPr>
          <w:fldChar w:fldCharType="end"/>
        </w:r>
      </w:hyperlink>
    </w:p>
    <w:p w14:paraId="134076F3" w14:textId="77777777" w:rsidR="00091568" w:rsidRDefault="003511EF">
      <w:pPr>
        <w:pStyle w:val="Spistreci2"/>
        <w:rPr>
          <w:rFonts w:asciiTheme="minorHAnsi" w:eastAsiaTheme="minorEastAsia" w:hAnsiTheme="minorHAnsi" w:cstheme="minorBidi"/>
          <w:noProof/>
          <w:sz w:val="22"/>
          <w:szCs w:val="22"/>
          <w:lang w:val="en-GB" w:eastAsia="en-GB" w:bidi="ar-SA"/>
        </w:rPr>
      </w:pPr>
      <w:hyperlink w:anchor="_Toc30764063" w:history="1">
        <w:r w:rsidR="00091568" w:rsidRPr="00D77C52">
          <w:rPr>
            <w:rStyle w:val="Hipercze"/>
            <w:noProof/>
          </w:rPr>
          <w:t>Artykuł II.23 – Niewywiązanie się z obowiązków sprawozdawczych</w:t>
        </w:r>
        <w:r w:rsidR="00091568">
          <w:rPr>
            <w:noProof/>
          </w:rPr>
          <w:tab/>
        </w:r>
        <w:r w:rsidR="00091568">
          <w:rPr>
            <w:noProof/>
          </w:rPr>
          <w:fldChar w:fldCharType="begin"/>
        </w:r>
        <w:r w:rsidR="00091568">
          <w:rPr>
            <w:noProof/>
          </w:rPr>
          <w:instrText xml:space="preserve"> PAGEREF _Toc30764063 \h </w:instrText>
        </w:r>
        <w:r w:rsidR="00091568">
          <w:rPr>
            <w:noProof/>
          </w:rPr>
        </w:r>
        <w:r w:rsidR="00091568">
          <w:rPr>
            <w:noProof/>
          </w:rPr>
          <w:fldChar w:fldCharType="separate"/>
        </w:r>
        <w:r w:rsidR="00091568">
          <w:rPr>
            <w:noProof/>
          </w:rPr>
          <w:t>31</w:t>
        </w:r>
        <w:r w:rsidR="00091568">
          <w:rPr>
            <w:noProof/>
          </w:rPr>
          <w:fldChar w:fldCharType="end"/>
        </w:r>
      </w:hyperlink>
    </w:p>
    <w:p w14:paraId="2B2009C4" w14:textId="77777777" w:rsidR="00091568" w:rsidRDefault="003511EF">
      <w:pPr>
        <w:pStyle w:val="Spistreci2"/>
        <w:rPr>
          <w:rFonts w:asciiTheme="minorHAnsi" w:eastAsiaTheme="minorEastAsia" w:hAnsiTheme="minorHAnsi" w:cstheme="minorBidi"/>
          <w:noProof/>
          <w:sz w:val="22"/>
          <w:szCs w:val="22"/>
          <w:lang w:val="en-GB" w:eastAsia="en-GB" w:bidi="ar-SA"/>
        </w:rPr>
      </w:pPr>
      <w:hyperlink w:anchor="_Toc30764064" w:history="1">
        <w:r w:rsidR="00091568" w:rsidRPr="00D77C52">
          <w:rPr>
            <w:rStyle w:val="Hipercze"/>
            <w:noProof/>
          </w:rPr>
          <w:t>Artykuł II.24 – Zawieszenie płatności oraz zawieszenie biegu terminu płatności</w:t>
        </w:r>
        <w:r w:rsidR="00091568">
          <w:rPr>
            <w:noProof/>
          </w:rPr>
          <w:tab/>
        </w:r>
        <w:r w:rsidR="00091568">
          <w:rPr>
            <w:noProof/>
          </w:rPr>
          <w:fldChar w:fldCharType="begin"/>
        </w:r>
        <w:r w:rsidR="00091568">
          <w:rPr>
            <w:noProof/>
          </w:rPr>
          <w:instrText xml:space="preserve"> PAGEREF _Toc30764064 \h </w:instrText>
        </w:r>
        <w:r w:rsidR="00091568">
          <w:rPr>
            <w:noProof/>
          </w:rPr>
        </w:r>
        <w:r w:rsidR="00091568">
          <w:rPr>
            <w:noProof/>
          </w:rPr>
          <w:fldChar w:fldCharType="separate"/>
        </w:r>
        <w:r w:rsidR="00091568">
          <w:rPr>
            <w:noProof/>
          </w:rPr>
          <w:t>31</w:t>
        </w:r>
        <w:r w:rsidR="00091568">
          <w:rPr>
            <w:noProof/>
          </w:rPr>
          <w:fldChar w:fldCharType="end"/>
        </w:r>
      </w:hyperlink>
    </w:p>
    <w:p w14:paraId="0723749B" w14:textId="77777777" w:rsidR="00091568" w:rsidRDefault="003511EF">
      <w:pPr>
        <w:pStyle w:val="Spistreci3"/>
        <w:rPr>
          <w:rFonts w:asciiTheme="minorHAnsi" w:eastAsiaTheme="minorEastAsia" w:hAnsiTheme="minorHAnsi" w:cstheme="minorBidi"/>
          <w:noProof/>
          <w:sz w:val="22"/>
          <w:szCs w:val="22"/>
          <w:lang w:val="en-GB" w:eastAsia="en-GB" w:bidi="ar-SA"/>
        </w:rPr>
      </w:pPr>
      <w:hyperlink w:anchor="_Toc30764065" w:history="1">
        <w:r w:rsidR="00091568" w:rsidRPr="00D77C52">
          <w:rPr>
            <w:rStyle w:val="Hipercze"/>
            <w:noProof/>
          </w:rPr>
          <w:t>II.24.1 Zawieszenie płatności</w:t>
        </w:r>
        <w:r w:rsidR="00091568">
          <w:rPr>
            <w:noProof/>
          </w:rPr>
          <w:tab/>
        </w:r>
        <w:r w:rsidR="00091568">
          <w:rPr>
            <w:noProof/>
          </w:rPr>
          <w:fldChar w:fldCharType="begin"/>
        </w:r>
        <w:r w:rsidR="00091568">
          <w:rPr>
            <w:noProof/>
          </w:rPr>
          <w:instrText xml:space="preserve"> PAGEREF _Toc30764065 \h </w:instrText>
        </w:r>
        <w:r w:rsidR="00091568">
          <w:rPr>
            <w:noProof/>
          </w:rPr>
        </w:r>
        <w:r w:rsidR="00091568">
          <w:rPr>
            <w:noProof/>
          </w:rPr>
          <w:fldChar w:fldCharType="separate"/>
        </w:r>
        <w:r w:rsidR="00091568">
          <w:rPr>
            <w:noProof/>
          </w:rPr>
          <w:t>31</w:t>
        </w:r>
        <w:r w:rsidR="00091568">
          <w:rPr>
            <w:noProof/>
          </w:rPr>
          <w:fldChar w:fldCharType="end"/>
        </w:r>
      </w:hyperlink>
    </w:p>
    <w:p w14:paraId="763D0DF6" w14:textId="77777777" w:rsidR="00091568" w:rsidRDefault="003511EF">
      <w:pPr>
        <w:pStyle w:val="Spistreci3"/>
        <w:rPr>
          <w:rFonts w:asciiTheme="minorHAnsi" w:eastAsiaTheme="minorEastAsia" w:hAnsiTheme="minorHAnsi" w:cstheme="minorBidi"/>
          <w:noProof/>
          <w:sz w:val="22"/>
          <w:szCs w:val="22"/>
          <w:lang w:val="en-GB" w:eastAsia="en-GB" w:bidi="ar-SA"/>
        </w:rPr>
      </w:pPr>
      <w:hyperlink w:anchor="_Toc30764066" w:history="1">
        <w:r w:rsidR="00091568" w:rsidRPr="00D77C52">
          <w:rPr>
            <w:rStyle w:val="Hipercze"/>
            <w:noProof/>
          </w:rPr>
          <w:t>II.24.2 Zawieszenie biegu terminu płatności</w:t>
        </w:r>
        <w:r w:rsidR="00091568">
          <w:rPr>
            <w:noProof/>
          </w:rPr>
          <w:tab/>
        </w:r>
        <w:r w:rsidR="00091568">
          <w:rPr>
            <w:noProof/>
          </w:rPr>
          <w:fldChar w:fldCharType="begin"/>
        </w:r>
        <w:r w:rsidR="00091568">
          <w:rPr>
            <w:noProof/>
          </w:rPr>
          <w:instrText xml:space="preserve"> PAGEREF _Toc30764066 \h </w:instrText>
        </w:r>
        <w:r w:rsidR="00091568">
          <w:rPr>
            <w:noProof/>
          </w:rPr>
        </w:r>
        <w:r w:rsidR="00091568">
          <w:rPr>
            <w:noProof/>
          </w:rPr>
          <w:fldChar w:fldCharType="separate"/>
        </w:r>
        <w:r w:rsidR="00091568">
          <w:rPr>
            <w:noProof/>
          </w:rPr>
          <w:t>33</w:t>
        </w:r>
        <w:r w:rsidR="00091568">
          <w:rPr>
            <w:noProof/>
          </w:rPr>
          <w:fldChar w:fldCharType="end"/>
        </w:r>
      </w:hyperlink>
    </w:p>
    <w:p w14:paraId="1F4D844A" w14:textId="77777777" w:rsidR="00091568" w:rsidRDefault="003511EF">
      <w:pPr>
        <w:pStyle w:val="Spistreci2"/>
        <w:rPr>
          <w:rFonts w:asciiTheme="minorHAnsi" w:eastAsiaTheme="minorEastAsia" w:hAnsiTheme="minorHAnsi" w:cstheme="minorBidi"/>
          <w:noProof/>
          <w:sz w:val="22"/>
          <w:szCs w:val="22"/>
          <w:lang w:val="en-GB" w:eastAsia="en-GB" w:bidi="ar-SA"/>
        </w:rPr>
      </w:pPr>
      <w:hyperlink w:anchor="_Toc30764067" w:history="1">
        <w:r w:rsidR="00091568" w:rsidRPr="00D77C52">
          <w:rPr>
            <w:rStyle w:val="Hipercze"/>
            <w:noProof/>
          </w:rPr>
          <w:t>Artykuł II.25 – Obliczanie ostatecznej kwoty dotacji</w:t>
        </w:r>
        <w:r w:rsidR="00091568">
          <w:rPr>
            <w:noProof/>
          </w:rPr>
          <w:tab/>
        </w:r>
        <w:r w:rsidR="00091568">
          <w:rPr>
            <w:noProof/>
          </w:rPr>
          <w:fldChar w:fldCharType="begin"/>
        </w:r>
        <w:r w:rsidR="00091568">
          <w:rPr>
            <w:noProof/>
          </w:rPr>
          <w:instrText xml:space="preserve"> PAGEREF _Toc30764067 \h </w:instrText>
        </w:r>
        <w:r w:rsidR="00091568">
          <w:rPr>
            <w:noProof/>
          </w:rPr>
        </w:r>
        <w:r w:rsidR="00091568">
          <w:rPr>
            <w:noProof/>
          </w:rPr>
          <w:fldChar w:fldCharType="separate"/>
        </w:r>
        <w:r w:rsidR="00091568">
          <w:rPr>
            <w:noProof/>
          </w:rPr>
          <w:t>33</w:t>
        </w:r>
        <w:r w:rsidR="00091568">
          <w:rPr>
            <w:noProof/>
          </w:rPr>
          <w:fldChar w:fldCharType="end"/>
        </w:r>
      </w:hyperlink>
    </w:p>
    <w:p w14:paraId="7BD8D057" w14:textId="77777777" w:rsidR="00091568" w:rsidRDefault="003511EF">
      <w:pPr>
        <w:pStyle w:val="Spistreci3"/>
        <w:tabs>
          <w:tab w:val="left" w:pos="2880"/>
        </w:tabs>
        <w:rPr>
          <w:rFonts w:asciiTheme="minorHAnsi" w:eastAsiaTheme="minorEastAsia" w:hAnsiTheme="minorHAnsi" w:cstheme="minorBidi"/>
          <w:noProof/>
          <w:sz w:val="22"/>
          <w:szCs w:val="22"/>
          <w:lang w:val="en-GB" w:eastAsia="en-GB" w:bidi="ar-SA"/>
        </w:rPr>
      </w:pPr>
      <w:hyperlink w:anchor="_Toc30764068" w:history="1">
        <w:r w:rsidR="00091568" w:rsidRPr="00D77C52">
          <w:rPr>
            <w:rStyle w:val="Hipercze"/>
            <w:noProof/>
          </w:rPr>
          <w:t>II.25.1</w:t>
        </w:r>
        <w:r w:rsidR="00091568">
          <w:rPr>
            <w:rFonts w:asciiTheme="minorHAnsi" w:eastAsiaTheme="minorEastAsia" w:hAnsiTheme="minorHAnsi" w:cstheme="minorBidi"/>
            <w:noProof/>
            <w:sz w:val="22"/>
            <w:szCs w:val="22"/>
            <w:lang w:val="en-GB" w:eastAsia="en-GB" w:bidi="ar-SA"/>
          </w:rPr>
          <w:tab/>
        </w:r>
        <w:r w:rsidR="00091568" w:rsidRPr="00D77C52">
          <w:rPr>
            <w:rStyle w:val="Hipercze"/>
            <w:noProof/>
          </w:rPr>
          <w:t>Etap 1 – zastosowanie stawki zwrotu w odniesieniu do kosztów kwalifikowalnych i powiększenie otrzymanej kwoty o finansowanie niepowiązane z kosztami, wkład jednostkowy, zryczałtowany i ryczałtowy;</w:t>
        </w:r>
        <w:r w:rsidR="00091568">
          <w:rPr>
            <w:noProof/>
          </w:rPr>
          <w:tab/>
        </w:r>
        <w:r w:rsidR="00091568">
          <w:rPr>
            <w:noProof/>
          </w:rPr>
          <w:fldChar w:fldCharType="begin"/>
        </w:r>
        <w:r w:rsidR="00091568">
          <w:rPr>
            <w:noProof/>
          </w:rPr>
          <w:instrText xml:space="preserve"> PAGEREF _Toc30764068 \h </w:instrText>
        </w:r>
        <w:r w:rsidR="00091568">
          <w:rPr>
            <w:noProof/>
          </w:rPr>
        </w:r>
        <w:r w:rsidR="00091568">
          <w:rPr>
            <w:noProof/>
          </w:rPr>
          <w:fldChar w:fldCharType="separate"/>
        </w:r>
        <w:r w:rsidR="00091568">
          <w:rPr>
            <w:noProof/>
          </w:rPr>
          <w:t>34</w:t>
        </w:r>
        <w:r w:rsidR="00091568">
          <w:rPr>
            <w:noProof/>
          </w:rPr>
          <w:fldChar w:fldCharType="end"/>
        </w:r>
      </w:hyperlink>
    </w:p>
    <w:p w14:paraId="47BD820E" w14:textId="77777777" w:rsidR="00091568" w:rsidRDefault="003511EF">
      <w:pPr>
        <w:pStyle w:val="Spistreci3"/>
        <w:tabs>
          <w:tab w:val="left" w:pos="2880"/>
        </w:tabs>
        <w:rPr>
          <w:rFonts w:asciiTheme="minorHAnsi" w:eastAsiaTheme="minorEastAsia" w:hAnsiTheme="minorHAnsi" w:cstheme="minorBidi"/>
          <w:noProof/>
          <w:sz w:val="22"/>
          <w:szCs w:val="22"/>
          <w:lang w:val="en-GB" w:eastAsia="en-GB" w:bidi="ar-SA"/>
        </w:rPr>
      </w:pPr>
      <w:hyperlink w:anchor="_Toc30764069" w:history="1">
        <w:r w:rsidR="00091568" w:rsidRPr="00D77C52">
          <w:rPr>
            <w:rStyle w:val="Hipercze"/>
            <w:noProof/>
          </w:rPr>
          <w:t>II.25.2</w:t>
        </w:r>
        <w:r w:rsidR="00091568">
          <w:rPr>
            <w:rFonts w:asciiTheme="minorHAnsi" w:eastAsiaTheme="minorEastAsia" w:hAnsiTheme="minorHAnsi" w:cstheme="minorBidi"/>
            <w:noProof/>
            <w:sz w:val="22"/>
            <w:szCs w:val="22"/>
            <w:lang w:val="en-GB" w:eastAsia="en-GB" w:bidi="ar-SA"/>
          </w:rPr>
          <w:tab/>
        </w:r>
        <w:r w:rsidR="00091568" w:rsidRPr="00D77C52">
          <w:rPr>
            <w:rStyle w:val="Hipercze"/>
            <w:noProof/>
          </w:rPr>
          <w:t>Etap 2 – ograniczenie uzyskanej wartości do wysokości maksymalnej kwoty dotacji</w:t>
        </w:r>
        <w:r w:rsidR="00091568">
          <w:rPr>
            <w:noProof/>
          </w:rPr>
          <w:tab/>
        </w:r>
        <w:r w:rsidR="00091568">
          <w:rPr>
            <w:noProof/>
          </w:rPr>
          <w:fldChar w:fldCharType="begin"/>
        </w:r>
        <w:r w:rsidR="00091568">
          <w:rPr>
            <w:noProof/>
          </w:rPr>
          <w:instrText xml:space="preserve"> PAGEREF _Toc30764069 \h </w:instrText>
        </w:r>
        <w:r w:rsidR="00091568">
          <w:rPr>
            <w:noProof/>
          </w:rPr>
        </w:r>
        <w:r w:rsidR="00091568">
          <w:rPr>
            <w:noProof/>
          </w:rPr>
          <w:fldChar w:fldCharType="separate"/>
        </w:r>
        <w:r w:rsidR="00091568">
          <w:rPr>
            <w:noProof/>
          </w:rPr>
          <w:t>35</w:t>
        </w:r>
        <w:r w:rsidR="00091568">
          <w:rPr>
            <w:noProof/>
          </w:rPr>
          <w:fldChar w:fldCharType="end"/>
        </w:r>
      </w:hyperlink>
    </w:p>
    <w:p w14:paraId="4C333504" w14:textId="77777777" w:rsidR="00091568" w:rsidRDefault="003511EF">
      <w:pPr>
        <w:pStyle w:val="Spistreci3"/>
        <w:tabs>
          <w:tab w:val="left" w:pos="2880"/>
        </w:tabs>
        <w:rPr>
          <w:rFonts w:asciiTheme="minorHAnsi" w:eastAsiaTheme="minorEastAsia" w:hAnsiTheme="minorHAnsi" w:cstheme="minorBidi"/>
          <w:noProof/>
          <w:sz w:val="22"/>
          <w:szCs w:val="22"/>
          <w:lang w:val="en-GB" w:eastAsia="en-GB" w:bidi="ar-SA"/>
        </w:rPr>
      </w:pPr>
      <w:hyperlink w:anchor="_Toc30764070" w:history="1">
        <w:r w:rsidR="00091568" w:rsidRPr="00D77C52">
          <w:rPr>
            <w:rStyle w:val="Hipercze"/>
            <w:noProof/>
          </w:rPr>
          <w:t>II.25.3</w:t>
        </w:r>
        <w:r w:rsidR="00091568">
          <w:rPr>
            <w:rFonts w:asciiTheme="minorHAnsi" w:eastAsiaTheme="minorEastAsia" w:hAnsiTheme="minorHAnsi" w:cstheme="minorBidi"/>
            <w:noProof/>
            <w:sz w:val="22"/>
            <w:szCs w:val="22"/>
            <w:lang w:val="en-GB" w:eastAsia="en-GB" w:bidi="ar-SA"/>
          </w:rPr>
          <w:tab/>
        </w:r>
        <w:r w:rsidR="00091568" w:rsidRPr="00D77C52">
          <w:rPr>
            <w:rStyle w:val="Hipercze"/>
            <w:noProof/>
          </w:rPr>
          <w:t>Etap 3 – zmniejszenie z tytułu zasady niedochodowości</w:t>
        </w:r>
        <w:r w:rsidR="00091568">
          <w:rPr>
            <w:noProof/>
          </w:rPr>
          <w:tab/>
        </w:r>
        <w:r w:rsidR="00091568">
          <w:rPr>
            <w:noProof/>
          </w:rPr>
          <w:fldChar w:fldCharType="begin"/>
        </w:r>
        <w:r w:rsidR="00091568">
          <w:rPr>
            <w:noProof/>
          </w:rPr>
          <w:instrText xml:space="preserve"> PAGEREF _Toc30764070 \h </w:instrText>
        </w:r>
        <w:r w:rsidR="00091568">
          <w:rPr>
            <w:noProof/>
          </w:rPr>
        </w:r>
        <w:r w:rsidR="00091568">
          <w:rPr>
            <w:noProof/>
          </w:rPr>
          <w:fldChar w:fldCharType="separate"/>
        </w:r>
        <w:r w:rsidR="00091568">
          <w:rPr>
            <w:noProof/>
          </w:rPr>
          <w:t>35</w:t>
        </w:r>
        <w:r w:rsidR="00091568">
          <w:rPr>
            <w:noProof/>
          </w:rPr>
          <w:fldChar w:fldCharType="end"/>
        </w:r>
      </w:hyperlink>
    </w:p>
    <w:p w14:paraId="6385C3CD" w14:textId="77777777" w:rsidR="00091568" w:rsidRDefault="003511EF">
      <w:pPr>
        <w:pStyle w:val="Spistreci3"/>
        <w:tabs>
          <w:tab w:val="left" w:pos="2880"/>
        </w:tabs>
        <w:rPr>
          <w:rFonts w:asciiTheme="minorHAnsi" w:eastAsiaTheme="minorEastAsia" w:hAnsiTheme="minorHAnsi" w:cstheme="minorBidi"/>
          <w:noProof/>
          <w:sz w:val="22"/>
          <w:szCs w:val="22"/>
          <w:lang w:val="en-GB" w:eastAsia="en-GB" w:bidi="ar-SA"/>
        </w:rPr>
      </w:pPr>
      <w:hyperlink w:anchor="_Toc30764071" w:history="1">
        <w:r w:rsidR="00091568" w:rsidRPr="00D77C52">
          <w:rPr>
            <w:rStyle w:val="Hipercze"/>
            <w:noProof/>
          </w:rPr>
          <w:t>II.25.4</w:t>
        </w:r>
        <w:r w:rsidR="00091568">
          <w:rPr>
            <w:rFonts w:asciiTheme="minorHAnsi" w:eastAsiaTheme="minorEastAsia" w:hAnsiTheme="minorHAnsi" w:cstheme="minorBidi"/>
            <w:noProof/>
            <w:sz w:val="22"/>
            <w:szCs w:val="22"/>
            <w:lang w:val="en-GB" w:eastAsia="en-GB" w:bidi="ar-SA"/>
          </w:rPr>
          <w:tab/>
        </w:r>
        <w:r w:rsidR="00091568" w:rsidRPr="00D77C52">
          <w:rPr>
            <w:rStyle w:val="Hipercze"/>
            <w:noProof/>
          </w:rPr>
          <w:t>Etap 4 – zmniejszenie z tytułu nieprawidłowej realizacji działania lub naruszenia innych obowiązków.</w:t>
        </w:r>
        <w:r w:rsidR="00091568">
          <w:rPr>
            <w:noProof/>
          </w:rPr>
          <w:tab/>
        </w:r>
        <w:r w:rsidR="00091568">
          <w:rPr>
            <w:noProof/>
          </w:rPr>
          <w:fldChar w:fldCharType="begin"/>
        </w:r>
        <w:r w:rsidR="00091568">
          <w:rPr>
            <w:noProof/>
          </w:rPr>
          <w:instrText xml:space="preserve"> PAGEREF _Toc30764071 \h </w:instrText>
        </w:r>
        <w:r w:rsidR="00091568">
          <w:rPr>
            <w:noProof/>
          </w:rPr>
        </w:r>
        <w:r w:rsidR="00091568">
          <w:rPr>
            <w:noProof/>
          </w:rPr>
          <w:fldChar w:fldCharType="separate"/>
        </w:r>
        <w:r w:rsidR="00091568">
          <w:rPr>
            <w:noProof/>
          </w:rPr>
          <w:t>36</w:t>
        </w:r>
        <w:r w:rsidR="00091568">
          <w:rPr>
            <w:noProof/>
          </w:rPr>
          <w:fldChar w:fldCharType="end"/>
        </w:r>
      </w:hyperlink>
    </w:p>
    <w:p w14:paraId="1DB57826" w14:textId="77777777" w:rsidR="00091568" w:rsidRDefault="003511EF">
      <w:pPr>
        <w:pStyle w:val="Spistreci2"/>
        <w:rPr>
          <w:rFonts w:asciiTheme="minorHAnsi" w:eastAsiaTheme="minorEastAsia" w:hAnsiTheme="minorHAnsi" w:cstheme="minorBidi"/>
          <w:noProof/>
          <w:sz w:val="22"/>
          <w:szCs w:val="22"/>
          <w:lang w:val="en-GB" w:eastAsia="en-GB" w:bidi="ar-SA"/>
        </w:rPr>
      </w:pPr>
      <w:hyperlink w:anchor="_Toc30764072" w:history="1">
        <w:r w:rsidR="00091568" w:rsidRPr="00D77C52">
          <w:rPr>
            <w:rStyle w:val="Hipercze"/>
            <w:noProof/>
          </w:rPr>
          <w:t>Artykuł II.26 – Odzyskanie środków</w:t>
        </w:r>
        <w:r w:rsidR="00091568">
          <w:rPr>
            <w:noProof/>
          </w:rPr>
          <w:tab/>
        </w:r>
        <w:r w:rsidR="00091568">
          <w:rPr>
            <w:noProof/>
          </w:rPr>
          <w:fldChar w:fldCharType="begin"/>
        </w:r>
        <w:r w:rsidR="00091568">
          <w:rPr>
            <w:noProof/>
          </w:rPr>
          <w:instrText xml:space="preserve"> PAGEREF _Toc30764072 \h </w:instrText>
        </w:r>
        <w:r w:rsidR="00091568">
          <w:rPr>
            <w:noProof/>
          </w:rPr>
        </w:r>
        <w:r w:rsidR="00091568">
          <w:rPr>
            <w:noProof/>
          </w:rPr>
          <w:fldChar w:fldCharType="separate"/>
        </w:r>
        <w:r w:rsidR="00091568">
          <w:rPr>
            <w:noProof/>
          </w:rPr>
          <w:t>37</w:t>
        </w:r>
        <w:r w:rsidR="00091568">
          <w:rPr>
            <w:noProof/>
          </w:rPr>
          <w:fldChar w:fldCharType="end"/>
        </w:r>
      </w:hyperlink>
    </w:p>
    <w:p w14:paraId="55CF1A20" w14:textId="77777777" w:rsidR="00091568" w:rsidRDefault="003511EF">
      <w:pPr>
        <w:pStyle w:val="Spistreci3"/>
        <w:tabs>
          <w:tab w:val="left" w:pos="2880"/>
        </w:tabs>
        <w:rPr>
          <w:rFonts w:asciiTheme="minorHAnsi" w:eastAsiaTheme="minorEastAsia" w:hAnsiTheme="minorHAnsi" w:cstheme="minorBidi"/>
          <w:noProof/>
          <w:sz w:val="22"/>
          <w:szCs w:val="22"/>
          <w:lang w:val="en-GB" w:eastAsia="en-GB" w:bidi="ar-SA"/>
        </w:rPr>
      </w:pPr>
      <w:hyperlink w:anchor="_Toc30764073" w:history="1">
        <w:r w:rsidR="00091568" w:rsidRPr="00D77C52">
          <w:rPr>
            <w:rStyle w:val="Hipercze"/>
            <w:noProof/>
          </w:rPr>
          <w:t>II.26.1</w:t>
        </w:r>
        <w:r w:rsidR="00091568">
          <w:rPr>
            <w:rFonts w:asciiTheme="minorHAnsi" w:eastAsiaTheme="minorEastAsia" w:hAnsiTheme="minorHAnsi" w:cstheme="minorBidi"/>
            <w:noProof/>
            <w:sz w:val="22"/>
            <w:szCs w:val="22"/>
            <w:lang w:val="en-GB" w:eastAsia="en-GB" w:bidi="ar-SA"/>
          </w:rPr>
          <w:tab/>
        </w:r>
        <w:r w:rsidR="00091568" w:rsidRPr="00D77C52">
          <w:rPr>
            <w:rStyle w:val="Hipercze"/>
            <w:noProof/>
          </w:rPr>
          <w:t>Odzyskanie środków przy płatności salda</w:t>
        </w:r>
        <w:r w:rsidR="00091568">
          <w:rPr>
            <w:noProof/>
          </w:rPr>
          <w:tab/>
        </w:r>
        <w:r w:rsidR="00091568">
          <w:rPr>
            <w:noProof/>
          </w:rPr>
          <w:fldChar w:fldCharType="begin"/>
        </w:r>
        <w:r w:rsidR="00091568">
          <w:rPr>
            <w:noProof/>
          </w:rPr>
          <w:instrText xml:space="preserve"> PAGEREF _Toc30764073 \h </w:instrText>
        </w:r>
        <w:r w:rsidR="00091568">
          <w:rPr>
            <w:noProof/>
          </w:rPr>
        </w:r>
        <w:r w:rsidR="00091568">
          <w:rPr>
            <w:noProof/>
          </w:rPr>
          <w:fldChar w:fldCharType="separate"/>
        </w:r>
        <w:r w:rsidR="00091568">
          <w:rPr>
            <w:noProof/>
          </w:rPr>
          <w:t>37</w:t>
        </w:r>
        <w:r w:rsidR="00091568">
          <w:rPr>
            <w:noProof/>
          </w:rPr>
          <w:fldChar w:fldCharType="end"/>
        </w:r>
      </w:hyperlink>
    </w:p>
    <w:p w14:paraId="052A330B" w14:textId="77777777" w:rsidR="00091568" w:rsidRDefault="003511EF">
      <w:pPr>
        <w:pStyle w:val="Spistreci3"/>
        <w:tabs>
          <w:tab w:val="left" w:pos="2880"/>
        </w:tabs>
        <w:rPr>
          <w:rFonts w:asciiTheme="minorHAnsi" w:eastAsiaTheme="minorEastAsia" w:hAnsiTheme="minorHAnsi" w:cstheme="minorBidi"/>
          <w:noProof/>
          <w:sz w:val="22"/>
          <w:szCs w:val="22"/>
          <w:lang w:val="en-GB" w:eastAsia="en-GB" w:bidi="ar-SA"/>
        </w:rPr>
      </w:pPr>
      <w:hyperlink w:anchor="_Toc30764074" w:history="1">
        <w:r w:rsidR="00091568" w:rsidRPr="00D77C52">
          <w:rPr>
            <w:rStyle w:val="Hipercze"/>
            <w:noProof/>
          </w:rPr>
          <w:t>II.26.2</w:t>
        </w:r>
        <w:r w:rsidR="00091568">
          <w:rPr>
            <w:rFonts w:asciiTheme="minorHAnsi" w:eastAsiaTheme="minorEastAsia" w:hAnsiTheme="minorHAnsi" w:cstheme="minorBidi"/>
            <w:noProof/>
            <w:sz w:val="22"/>
            <w:szCs w:val="22"/>
            <w:lang w:val="en-GB" w:eastAsia="en-GB" w:bidi="ar-SA"/>
          </w:rPr>
          <w:tab/>
        </w:r>
        <w:r w:rsidR="00091568" w:rsidRPr="00D77C52">
          <w:rPr>
            <w:rStyle w:val="Hipercze"/>
            <w:noProof/>
          </w:rPr>
          <w:t>Odzyskanie środków po dokonaniu płatności salda</w:t>
        </w:r>
        <w:r w:rsidR="00091568">
          <w:rPr>
            <w:noProof/>
          </w:rPr>
          <w:tab/>
        </w:r>
        <w:r w:rsidR="00091568">
          <w:rPr>
            <w:noProof/>
          </w:rPr>
          <w:fldChar w:fldCharType="begin"/>
        </w:r>
        <w:r w:rsidR="00091568">
          <w:rPr>
            <w:noProof/>
          </w:rPr>
          <w:instrText xml:space="preserve"> PAGEREF _Toc30764074 \h </w:instrText>
        </w:r>
        <w:r w:rsidR="00091568">
          <w:rPr>
            <w:noProof/>
          </w:rPr>
        </w:r>
        <w:r w:rsidR="00091568">
          <w:rPr>
            <w:noProof/>
          </w:rPr>
          <w:fldChar w:fldCharType="separate"/>
        </w:r>
        <w:r w:rsidR="00091568">
          <w:rPr>
            <w:noProof/>
          </w:rPr>
          <w:t>37</w:t>
        </w:r>
        <w:r w:rsidR="00091568">
          <w:rPr>
            <w:noProof/>
          </w:rPr>
          <w:fldChar w:fldCharType="end"/>
        </w:r>
      </w:hyperlink>
    </w:p>
    <w:p w14:paraId="3EF4D250" w14:textId="77777777" w:rsidR="00091568" w:rsidRDefault="003511EF">
      <w:pPr>
        <w:pStyle w:val="Spistreci3"/>
        <w:tabs>
          <w:tab w:val="left" w:pos="2880"/>
        </w:tabs>
        <w:rPr>
          <w:rFonts w:asciiTheme="minorHAnsi" w:eastAsiaTheme="minorEastAsia" w:hAnsiTheme="minorHAnsi" w:cstheme="minorBidi"/>
          <w:noProof/>
          <w:sz w:val="22"/>
          <w:szCs w:val="22"/>
          <w:lang w:val="en-GB" w:eastAsia="en-GB" w:bidi="ar-SA"/>
        </w:rPr>
      </w:pPr>
      <w:hyperlink w:anchor="_Toc30764075" w:history="1">
        <w:r w:rsidR="00091568" w:rsidRPr="00D77C52">
          <w:rPr>
            <w:rStyle w:val="Hipercze"/>
            <w:noProof/>
          </w:rPr>
          <w:t>II.26.3</w:t>
        </w:r>
        <w:r w:rsidR="00091568">
          <w:rPr>
            <w:rFonts w:asciiTheme="minorHAnsi" w:eastAsiaTheme="minorEastAsia" w:hAnsiTheme="minorHAnsi" w:cstheme="minorBidi"/>
            <w:noProof/>
            <w:sz w:val="22"/>
            <w:szCs w:val="22"/>
            <w:lang w:val="en-GB" w:eastAsia="en-GB" w:bidi="ar-SA"/>
          </w:rPr>
          <w:tab/>
        </w:r>
        <w:r w:rsidR="00091568" w:rsidRPr="00D77C52">
          <w:rPr>
            <w:rStyle w:val="Hipercze"/>
            <w:noProof/>
          </w:rPr>
          <w:t>Procedura odzyskiwania środków</w:t>
        </w:r>
        <w:r w:rsidR="00091568">
          <w:rPr>
            <w:noProof/>
          </w:rPr>
          <w:tab/>
        </w:r>
        <w:r w:rsidR="00091568">
          <w:rPr>
            <w:noProof/>
          </w:rPr>
          <w:fldChar w:fldCharType="begin"/>
        </w:r>
        <w:r w:rsidR="00091568">
          <w:rPr>
            <w:noProof/>
          </w:rPr>
          <w:instrText xml:space="preserve"> PAGEREF _Toc30764075 \h </w:instrText>
        </w:r>
        <w:r w:rsidR="00091568">
          <w:rPr>
            <w:noProof/>
          </w:rPr>
        </w:r>
        <w:r w:rsidR="00091568">
          <w:rPr>
            <w:noProof/>
          </w:rPr>
          <w:fldChar w:fldCharType="separate"/>
        </w:r>
        <w:r w:rsidR="00091568">
          <w:rPr>
            <w:noProof/>
          </w:rPr>
          <w:t>37</w:t>
        </w:r>
        <w:r w:rsidR="00091568">
          <w:rPr>
            <w:noProof/>
          </w:rPr>
          <w:fldChar w:fldCharType="end"/>
        </w:r>
      </w:hyperlink>
    </w:p>
    <w:p w14:paraId="51350C12" w14:textId="77777777" w:rsidR="00091568" w:rsidRDefault="003511EF">
      <w:pPr>
        <w:pStyle w:val="Spistreci3"/>
        <w:tabs>
          <w:tab w:val="left" w:pos="2880"/>
        </w:tabs>
        <w:rPr>
          <w:rFonts w:asciiTheme="minorHAnsi" w:eastAsiaTheme="minorEastAsia" w:hAnsiTheme="minorHAnsi" w:cstheme="minorBidi"/>
          <w:noProof/>
          <w:sz w:val="22"/>
          <w:szCs w:val="22"/>
          <w:lang w:val="en-GB" w:eastAsia="en-GB" w:bidi="ar-SA"/>
        </w:rPr>
      </w:pPr>
      <w:hyperlink w:anchor="_Toc30764076" w:history="1">
        <w:r w:rsidR="00091568" w:rsidRPr="00D77C52">
          <w:rPr>
            <w:rStyle w:val="Hipercze"/>
            <w:noProof/>
          </w:rPr>
          <w:t>II.26.4</w:t>
        </w:r>
        <w:r w:rsidR="00091568">
          <w:rPr>
            <w:rFonts w:asciiTheme="minorHAnsi" w:eastAsiaTheme="minorEastAsia" w:hAnsiTheme="minorHAnsi" w:cstheme="minorBidi"/>
            <w:noProof/>
            <w:sz w:val="22"/>
            <w:szCs w:val="22"/>
            <w:lang w:val="en-GB" w:eastAsia="en-GB" w:bidi="ar-SA"/>
          </w:rPr>
          <w:tab/>
        </w:r>
        <w:r w:rsidR="00091568" w:rsidRPr="00D77C52">
          <w:rPr>
            <w:rStyle w:val="Hipercze"/>
            <w:noProof/>
          </w:rPr>
          <w:t>Odsetki za zwłokę</w:t>
        </w:r>
        <w:r w:rsidR="00091568">
          <w:rPr>
            <w:noProof/>
          </w:rPr>
          <w:tab/>
        </w:r>
        <w:r w:rsidR="00091568">
          <w:rPr>
            <w:noProof/>
          </w:rPr>
          <w:fldChar w:fldCharType="begin"/>
        </w:r>
        <w:r w:rsidR="00091568">
          <w:rPr>
            <w:noProof/>
          </w:rPr>
          <w:instrText xml:space="preserve"> PAGEREF _Toc30764076 \h </w:instrText>
        </w:r>
        <w:r w:rsidR="00091568">
          <w:rPr>
            <w:noProof/>
          </w:rPr>
        </w:r>
        <w:r w:rsidR="00091568">
          <w:rPr>
            <w:noProof/>
          </w:rPr>
          <w:fldChar w:fldCharType="separate"/>
        </w:r>
        <w:r w:rsidR="00091568">
          <w:rPr>
            <w:noProof/>
          </w:rPr>
          <w:t>38</w:t>
        </w:r>
        <w:r w:rsidR="00091568">
          <w:rPr>
            <w:noProof/>
          </w:rPr>
          <w:fldChar w:fldCharType="end"/>
        </w:r>
      </w:hyperlink>
    </w:p>
    <w:p w14:paraId="7B1CF38A" w14:textId="77777777" w:rsidR="00091568" w:rsidRDefault="003511EF">
      <w:pPr>
        <w:pStyle w:val="Spistreci3"/>
        <w:tabs>
          <w:tab w:val="left" w:pos="2880"/>
        </w:tabs>
        <w:rPr>
          <w:rFonts w:asciiTheme="minorHAnsi" w:eastAsiaTheme="minorEastAsia" w:hAnsiTheme="minorHAnsi" w:cstheme="minorBidi"/>
          <w:noProof/>
          <w:sz w:val="22"/>
          <w:szCs w:val="22"/>
          <w:lang w:val="en-GB" w:eastAsia="en-GB" w:bidi="ar-SA"/>
        </w:rPr>
      </w:pPr>
      <w:hyperlink w:anchor="_Toc30764077" w:history="1">
        <w:r w:rsidR="00091568" w:rsidRPr="00D77C52">
          <w:rPr>
            <w:rStyle w:val="Hipercze"/>
            <w:noProof/>
          </w:rPr>
          <w:t>II.26.5</w:t>
        </w:r>
        <w:r w:rsidR="00091568">
          <w:rPr>
            <w:rFonts w:asciiTheme="minorHAnsi" w:eastAsiaTheme="minorEastAsia" w:hAnsiTheme="minorHAnsi" w:cstheme="minorBidi"/>
            <w:noProof/>
            <w:sz w:val="22"/>
            <w:szCs w:val="22"/>
            <w:lang w:val="en-GB" w:eastAsia="en-GB" w:bidi="ar-SA"/>
          </w:rPr>
          <w:tab/>
        </w:r>
        <w:r w:rsidR="00091568" w:rsidRPr="00D77C52">
          <w:rPr>
            <w:rStyle w:val="Hipercze"/>
            <w:noProof/>
          </w:rPr>
          <w:t>Opłaty bankowe</w:t>
        </w:r>
        <w:r w:rsidR="00091568">
          <w:rPr>
            <w:noProof/>
          </w:rPr>
          <w:tab/>
        </w:r>
        <w:r w:rsidR="00091568">
          <w:rPr>
            <w:noProof/>
          </w:rPr>
          <w:fldChar w:fldCharType="begin"/>
        </w:r>
        <w:r w:rsidR="00091568">
          <w:rPr>
            <w:noProof/>
          </w:rPr>
          <w:instrText xml:space="preserve"> PAGEREF _Toc30764077 \h </w:instrText>
        </w:r>
        <w:r w:rsidR="00091568">
          <w:rPr>
            <w:noProof/>
          </w:rPr>
        </w:r>
        <w:r w:rsidR="00091568">
          <w:rPr>
            <w:noProof/>
          </w:rPr>
          <w:fldChar w:fldCharType="separate"/>
        </w:r>
        <w:r w:rsidR="00091568">
          <w:rPr>
            <w:noProof/>
          </w:rPr>
          <w:t>38</w:t>
        </w:r>
        <w:r w:rsidR="00091568">
          <w:rPr>
            <w:noProof/>
          </w:rPr>
          <w:fldChar w:fldCharType="end"/>
        </w:r>
      </w:hyperlink>
    </w:p>
    <w:p w14:paraId="20B7EFA5" w14:textId="77777777" w:rsidR="00091568" w:rsidRDefault="003511EF">
      <w:pPr>
        <w:pStyle w:val="Spistreci2"/>
        <w:rPr>
          <w:rFonts w:asciiTheme="minorHAnsi" w:eastAsiaTheme="minorEastAsia" w:hAnsiTheme="minorHAnsi" w:cstheme="minorBidi"/>
          <w:noProof/>
          <w:sz w:val="22"/>
          <w:szCs w:val="22"/>
          <w:lang w:val="en-GB" w:eastAsia="en-GB" w:bidi="ar-SA"/>
        </w:rPr>
      </w:pPr>
      <w:hyperlink w:anchor="_Toc30764078" w:history="1">
        <w:r w:rsidR="00091568" w:rsidRPr="00D77C52">
          <w:rPr>
            <w:rStyle w:val="Hipercze"/>
            <w:noProof/>
          </w:rPr>
          <w:t>Artykuł II.27 – Kontrole, audyty i oceny</w:t>
        </w:r>
        <w:r w:rsidR="00091568">
          <w:rPr>
            <w:noProof/>
          </w:rPr>
          <w:tab/>
        </w:r>
        <w:r w:rsidR="00091568">
          <w:rPr>
            <w:noProof/>
          </w:rPr>
          <w:fldChar w:fldCharType="begin"/>
        </w:r>
        <w:r w:rsidR="00091568">
          <w:rPr>
            <w:noProof/>
          </w:rPr>
          <w:instrText xml:space="preserve"> PAGEREF _Toc30764078 \h </w:instrText>
        </w:r>
        <w:r w:rsidR="00091568">
          <w:rPr>
            <w:noProof/>
          </w:rPr>
        </w:r>
        <w:r w:rsidR="00091568">
          <w:rPr>
            <w:noProof/>
          </w:rPr>
          <w:fldChar w:fldCharType="separate"/>
        </w:r>
        <w:r w:rsidR="00091568">
          <w:rPr>
            <w:noProof/>
          </w:rPr>
          <w:t>38</w:t>
        </w:r>
        <w:r w:rsidR="00091568">
          <w:rPr>
            <w:noProof/>
          </w:rPr>
          <w:fldChar w:fldCharType="end"/>
        </w:r>
      </w:hyperlink>
    </w:p>
    <w:p w14:paraId="4B713FD1" w14:textId="77777777" w:rsidR="00091568" w:rsidRDefault="003511EF">
      <w:pPr>
        <w:pStyle w:val="Spistreci3"/>
        <w:tabs>
          <w:tab w:val="left" w:pos="2880"/>
        </w:tabs>
        <w:rPr>
          <w:rFonts w:asciiTheme="minorHAnsi" w:eastAsiaTheme="minorEastAsia" w:hAnsiTheme="minorHAnsi" w:cstheme="minorBidi"/>
          <w:noProof/>
          <w:sz w:val="22"/>
          <w:szCs w:val="22"/>
          <w:lang w:val="en-GB" w:eastAsia="en-GB" w:bidi="ar-SA"/>
        </w:rPr>
      </w:pPr>
      <w:hyperlink w:anchor="_Toc30764079" w:history="1">
        <w:r w:rsidR="00091568" w:rsidRPr="00D77C52">
          <w:rPr>
            <w:rStyle w:val="Hipercze"/>
            <w:noProof/>
          </w:rPr>
          <w:t>II.27.1</w:t>
        </w:r>
        <w:r w:rsidR="00091568">
          <w:rPr>
            <w:rFonts w:asciiTheme="minorHAnsi" w:eastAsiaTheme="minorEastAsia" w:hAnsiTheme="minorHAnsi" w:cstheme="minorBidi"/>
            <w:noProof/>
            <w:sz w:val="22"/>
            <w:szCs w:val="22"/>
            <w:lang w:val="en-GB" w:eastAsia="en-GB" w:bidi="ar-SA"/>
          </w:rPr>
          <w:tab/>
        </w:r>
        <w:r w:rsidR="00091568" w:rsidRPr="00D77C52">
          <w:rPr>
            <w:rStyle w:val="Hipercze"/>
            <w:noProof/>
          </w:rPr>
          <w:t>Kontrole techniczne i finansowe, audyty oraz oceny okresowe i końcowe</w:t>
        </w:r>
        <w:r w:rsidR="00091568">
          <w:rPr>
            <w:noProof/>
          </w:rPr>
          <w:tab/>
        </w:r>
        <w:r w:rsidR="00091568">
          <w:rPr>
            <w:noProof/>
          </w:rPr>
          <w:fldChar w:fldCharType="begin"/>
        </w:r>
        <w:r w:rsidR="00091568">
          <w:rPr>
            <w:noProof/>
          </w:rPr>
          <w:instrText xml:space="preserve"> PAGEREF _Toc30764079 \h </w:instrText>
        </w:r>
        <w:r w:rsidR="00091568">
          <w:rPr>
            <w:noProof/>
          </w:rPr>
        </w:r>
        <w:r w:rsidR="00091568">
          <w:rPr>
            <w:noProof/>
          </w:rPr>
          <w:fldChar w:fldCharType="separate"/>
        </w:r>
        <w:r w:rsidR="00091568">
          <w:rPr>
            <w:noProof/>
          </w:rPr>
          <w:t>38</w:t>
        </w:r>
        <w:r w:rsidR="00091568">
          <w:rPr>
            <w:noProof/>
          </w:rPr>
          <w:fldChar w:fldCharType="end"/>
        </w:r>
      </w:hyperlink>
    </w:p>
    <w:p w14:paraId="52AA1B94" w14:textId="77777777" w:rsidR="00091568" w:rsidRDefault="003511EF">
      <w:pPr>
        <w:pStyle w:val="Spistreci3"/>
        <w:tabs>
          <w:tab w:val="left" w:pos="2880"/>
        </w:tabs>
        <w:rPr>
          <w:rFonts w:asciiTheme="minorHAnsi" w:eastAsiaTheme="minorEastAsia" w:hAnsiTheme="minorHAnsi" w:cstheme="minorBidi"/>
          <w:noProof/>
          <w:sz w:val="22"/>
          <w:szCs w:val="22"/>
          <w:lang w:val="en-GB" w:eastAsia="en-GB" w:bidi="ar-SA"/>
        </w:rPr>
      </w:pPr>
      <w:hyperlink w:anchor="_Toc30764080" w:history="1">
        <w:r w:rsidR="00091568" w:rsidRPr="00D77C52">
          <w:rPr>
            <w:rStyle w:val="Hipercze"/>
            <w:noProof/>
          </w:rPr>
          <w:t xml:space="preserve">II.27.2 </w:t>
        </w:r>
        <w:r w:rsidR="00091568">
          <w:rPr>
            <w:rFonts w:asciiTheme="minorHAnsi" w:eastAsiaTheme="minorEastAsia" w:hAnsiTheme="minorHAnsi" w:cstheme="minorBidi"/>
            <w:noProof/>
            <w:sz w:val="22"/>
            <w:szCs w:val="22"/>
            <w:lang w:val="en-GB" w:eastAsia="en-GB" w:bidi="ar-SA"/>
          </w:rPr>
          <w:tab/>
        </w:r>
        <w:r w:rsidR="00091568" w:rsidRPr="00D77C52">
          <w:rPr>
            <w:rStyle w:val="Hipercze"/>
            <w:noProof/>
          </w:rPr>
          <w:t>Obowiązek przechowywania dokumentacji</w:t>
        </w:r>
        <w:r w:rsidR="00091568">
          <w:rPr>
            <w:noProof/>
          </w:rPr>
          <w:tab/>
        </w:r>
        <w:r w:rsidR="00091568">
          <w:rPr>
            <w:noProof/>
          </w:rPr>
          <w:fldChar w:fldCharType="begin"/>
        </w:r>
        <w:r w:rsidR="00091568">
          <w:rPr>
            <w:noProof/>
          </w:rPr>
          <w:instrText xml:space="preserve"> PAGEREF _Toc30764080 \h </w:instrText>
        </w:r>
        <w:r w:rsidR="00091568">
          <w:rPr>
            <w:noProof/>
          </w:rPr>
        </w:r>
        <w:r w:rsidR="00091568">
          <w:rPr>
            <w:noProof/>
          </w:rPr>
          <w:fldChar w:fldCharType="separate"/>
        </w:r>
        <w:r w:rsidR="00091568">
          <w:rPr>
            <w:noProof/>
          </w:rPr>
          <w:t>39</w:t>
        </w:r>
        <w:r w:rsidR="00091568">
          <w:rPr>
            <w:noProof/>
          </w:rPr>
          <w:fldChar w:fldCharType="end"/>
        </w:r>
      </w:hyperlink>
    </w:p>
    <w:p w14:paraId="62F0D0C2" w14:textId="77777777" w:rsidR="00091568" w:rsidRDefault="003511EF">
      <w:pPr>
        <w:pStyle w:val="Spistreci3"/>
        <w:tabs>
          <w:tab w:val="left" w:pos="2880"/>
        </w:tabs>
        <w:rPr>
          <w:rFonts w:asciiTheme="minorHAnsi" w:eastAsiaTheme="minorEastAsia" w:hAnsiTheme="minorHAnsi" w:cstheme="minorBidi"/>
          <w:noProof/>
          <w:sz w:val="22"/>
          <w:szCs w:val="22"/>
          <w:lang w:val="en-GB" w:eastAsia="en-GB" w:bidi="ar-SA"/>
        </w:rPr>
      </w:pPr>
      <w:hyperlink w:anchor="_Toc30764081" w:history="1">
        <w:r w:rsidR="00091568" w:rsidRPr="00D77C52">
          <w:rPr>
            <w:rStyle w:val="Hipercze"/>
            <w:noProof/>
          </w:rPr>
          <w:t xml:space="preserve">II.27.3 </w:t>
        </w:r>
        <w:r w:rsidR="00091568">
          <w:rPr>
            <w:rFonts w:asciiTheme="minorHAnsi" w:eastAsiaTheme="minorEastAsia" w:hAnsiTheme="minorHAnsi" w:cstheme="minorBidi"/>
            <w:noProof/>
            <w:sz w:val="22"/>
            <w:szCs w:val="22"/>
            <w:lang w:val="en-GB" w:eastAsia="en-GB" w:bidi="ar-SA"/>
          </w:rPr>
          <w:tab/>
        </w:r>
        <w:r w:rsidR="00091568" w:rsidRPr="00D77C52">
          <w:rPr>
            <w:rStyle w:val="Hipercze"/>
            <w:noProof/>
          </w:rPr>
          <w:t>Obowiązek przekazania informacji</w:t>
        </w:r>
        <w:r w:rsidR="00091568">
          <w:rPr>
            <w:noProof/>
          </w:rPr>
          <w:tab/>
        </w:r>
        <w:r w:rsidR="00091568">
          <w:rPr>
            <w:noProof/>
          </w:rPr>
          <w:fldChar w:fldCharType="begin"/>
        </w:r>
        <w:r w:rsidR="00091568">
          <w:rPr>
            <w:noProof/>
          </w:rPr>
          <w:instrText xml:space="preserve"> PAGEREF _Toc30764081 \h </w:instrText>
        </w:r>
        <w:r w:rsidR="00091568">
          <w:rPr>
            <w:noProof/>
          </w:rPr>
        </w:r>
        <w:r w:rsidR="00091568">
          <w:rPr>
            <w:noProof/>
          </w:rPr>
          <w:fldChar w:fldCharType="separate"/>
        </w:r>
        <w:r w:rsidR="00091568">
          <w:rPr>
            <w:noProof/>
          </w:rPr>
          <w:t>39</w:t>
        </w:r>
        <w:r w:rsidR="00091568">
          <w:rPr>
            <w:noProof/>
          </w:rPr>
          <w:fldChar w:fldCharType="end"/>
        </w:r>
      </w:hyperlink>
    </w:p>
    <w:p w14:paraId="4B859411" w14:textId="77777777" w:rsidR="00091568" w:rsidRDefault="003511EF">
      <w:pPr>
        <w:pStyle w:val="Spistreci3"/>
        <w:tabs>
          <w:tab w:val="left" w:pos="2880"/>
        </w:tabs>
        <w:rPr>
          <w:rFonts w:asciiTheme="minorHAnsi" w:eastAsiaTheme="minorEastAsia" w:hAnsiTheme="minorHAnsi" w:cstheme="minorBidi"/>
          <w:noProof/>
          <w:sz w:val="22"/>
          <w:szCs w:val="22"/>
          <w:lang w:val="en-GB" w:eastAsia="en-GB" w:bidi="ar-SA"/>
        </w:rPr>
      </w:pPr>
      <w:hyperlink w:anchor="_Toc30764082" w:history="1">
        <w:r w:rsidR="00091568" w:rsidRPr="00D77C52">
          <w:rPr>
            <w:rStyle w:val="Hipercze"/>
            <w:noProof/>
          </w:rPr>
          <w:t>II.27.4</w:t>
        </w:r>
        <w:r w:rsidR="00091568">
          <w:rPr>
            <w:rFonts w:asciiTheme="minorHAnsi" w:eastAsiaTheme="minorEastAsia" w:hAnsiTheme="minorHAnsi" w:cstheme="minorBidi"/>
            <w:noProof/>
            <w:sz w:val="22"/>
            <w:szCs w:val="22"/>
            <w:lang w:val="en-GB" w:eastAsia="en-GB" w:bidi="ar-SA"/>
          </w:rPr>
          <w:tab/>
        </w:r>
        <w:r w:rsidR="00091568" w:rsidRPr="00D77C52">
          <w:rPr>
            <w:rStyle w:val="Hipercze"/>
            <w:noProof/>
          </w:rPr>
          <w:t>Wizyty na miejscu</w:t>
        </w:r>
        <w:r w:rsidR="00091568">
          <w:rPr>
            <w:noProof/>
          </w:rPr>
          <w:tab/>
        </w:r>
        <w:r w:rsidR="00091568">
          <w:rPr>
            <w:noProof/>
          </w:rPr>
          <w:fldChar w:fldCharType="begin"/>
        </w:r>
        <w:r w:rsidR="00091568">
          <w:rPr>
            <w:noProof/>
          </w:rPr>
          <w:instrText xml:space="preserve"> PAGEREF _Toc30764082 \h </w:instrText>
        </w:r>
        <w:r w:rsidR="00091568">
          <w:rPr>
            <w:noProof/>
          </w:rPr>
        </w:r>
        <w:r w:rsidR="00091568">
          <w:rPr>
            <w:noProof/>
          </w:rPr>
          <w:fldChar w:fldCharType="separate"/>
        </w:r>
        <w:r w:rsidR="00091568">
          <w:rPr>
            <w:noProof/>
          </w:rPr>
          <w:t>40</w:t>
        </w:r>
        <w:r w:rsidR="00091568">
          <w:rPr>
            <w:noProof/>
          </w:rPr>
          <w:fldChar w:fldCharType="end"/>
        </w:r>
      </w:hyperlink>
    </w:p>
    <w:p w14:paraId="5E8E381A" w14:textId="77777777" w:rsidR="00091568" w:rsidRDefault="003511EF">
      <w:pPr>
        <w:pStyle w:val="Spistreci3"/>
        <w:tabs>
          <w:tab w:val="left" w:pos="2880"/>
        </w:tabs>
        <w:rPr>
          <w:rFonts w:asciiTheme="minorHAnsi" w:eastAsiaTheme="minorEastAsia" w:hAnsiTheme="minorHAnsi" w:cstheme="minorBidi"/>
          <w:noProof/>
          <w:sz w:val="22"/>
          <w:szCs w:val="22"/>
          <w:lang w:val="en-GB" w:eastAsia="en-GB" w:bidi="ar-SA"/>
        </w:rPr>
      </w:pPr>
      <w:hyperlink w:anchor="_Toc30764083" w:history="1">
        <w:r w:rsidR="00091568" w:rsidRPr="00D77C52">
          <w:rPr>
            <w:rStyle w:val="Hipercze"/>
            <w:noProof/>
          </w:rPr>
          <w:t>II.27.5</w:t>
        </w:r>
        <w:r w:rsidR="00091568">
          <w:rPr>
            <w:rFonts w:asciiTheme="minorHAnsi" w:eastAsiaTheme="minorEastAsia" w:hAnsiTheme="minorHAnsi" w:cstheme="minorBidi"/>
            <w:noProof/>
            <w:sz w:val="22"/>
            <w:szCs w:val="22"/>
            <w:lang w:val="en-GB" w:eastAsia="en-GB" w:bidi="ar-SA"/>
          </w:rPr>
          <w:tab/>
        </w:r>
        <w:r w:rsidR="00091568" w:rsidRPr="00D77C52">
          <w:rPr>
            <w:rStyle w:val="Hipercze"/>
            <w:noProof/>
          </w:rPr>
          <w:t>Kontradyktoryjne postępowanie audytowe</w:t>
        </w:r>
        <w:r w:rsidR="00091568">
          <w:rPr>
            <w:noProof/>
          </w:rPr>
          <w:tab/>
        </w:r>
        <w:r w:rsidR="00091568">
          <w:rPr>
            <w:noProof/>
          </w:rPr>
          <w:fldChar w:fldCharType="begin"/>
        </w:r>
        <w:r w:rsidR="00091568">
          <w:rPr>
            <w:noProof/>
          </w:rPr>
          <w:instrText xml:space="preserve"> PAGEREF _Toc30764083 \h </w:instrText>
        </w:r>
        <w:r w:rsidR="00091568">
          <w:rPr>
            <w:noProof/>
          </w:rPr>
        </w:r>
        <w:r w:rsidR="00091568">
          <w:rPr>
            <w:noProof/>
          </w:rPr>
          <w:fldChar w:fldCharType="separate"/>
        </w:r>
        <w:r w:rsidR="00091568">
          <w:rPr>
            <w:noProof/>
          </w:rPr>
          <w:t>40</w:t>
        </w:r>
        <w:r w:rsidR="00091568">
          <w:rPr>
            <w:noProof/>
          </w:rPr>
          <w:fldChar w:fldCharType="end"/>
        </w:r>
      </w:hyperlink>
    </w:p>
    <w:p w14:paraId="110B14D1" w14:textId="77777777" w:rsidR="00091568" w:rsidRDefault="003511EF">
      <w:pPr>
        <w:pStyle w:val="Spistreci3"/>
        <w:tabs>
          <w:tab w:val="left" w:pos="2880"/>
        </w:tabs>
        <w:rPr>
          <w:rFonts w:asciiTheme="minorHAnsi" w:eastAsiaTheme="minorEastAsia" w:hAnsiTheme="minorHAnsi" w:cstheme="minorBidi"/>
          <w:noProof/>
          <w:sz w:val="22"/>
          <w:szCs w:val="22"/>
          <w:lang w:val="en-GB" w:eastAsia="en-GB" w:bidi="ar-SA"/>
        </w:rPr>
      </w:pPr>
      <w:hyperlink w:anchor="_Toc30764084" w:history="1">
        <w:r w:rsidR="00091568" w:rsidRPr="00D77C52">
          <w:rPr>
            <w:rStyle w:val="Hipercze"/>
            <w:noProof/>
          </w:rPr>
          <w:t xml:space="preserve">II.27.6 </w:t>
        </w:r>
        <w:r w:rsidR="00091568">
          <w:rPr>
            <w:rFonts w:asciiTheme="minorHAnsi" w:eastAsiaTheme="minorEastAsia" w:hAnsiTheme="minorHAnsi" w:cstheme="minorBidi"/>
            <w:noProof/>
            <w:sz w:val="22"/>
            <w:szCs w:val="22"/>
            <w:lang w:val="en-GB" w:eastAsia="en-GB" w:bidi="ar-SA"/>
          </w:rPr>
          <w:tab/>
        </w:r>
        <w:r w:rsidR="00091568" w:rsidRPr="00D77C52">
          <w:rPr>
            <w:rStyle w:val="Hipercze"/>
            <w:noProof/>
          </w:rPr>
          <w:t>Skutki ustaleń z audytu</w:t>
        </w:r>
        <w:r w:rsidR="00091568">
          <w:rPr>
            <w:noProof/>
          </w:rPr>
          <w:tab/>
        </w:r>
        <w:r w:rsidR="00091568">
          <w:rPr>
            <w:noProof/>
          </w:rPr>
          <w:fldChar w:fldCharType="begin"/>
        </w:r>
        <w:r w:rsidR="00091568">
          <w:rPr>
            <w:noProof/>
          </w:rPr>
          <w:instrText xml:space="preserve"> PAGEREF _Toc30764084 \h </w:instrText>
        </w:r>
        <w:r w:rsidR="00091568">
          <w:rPr>
            <w:noProof/>
          </w:rPr>
        </w:r>
        <w:r w:rsidR="00091568">
          <w:rPr>
            <w:noProof/>
          </w:rPr>
          <w:fldChar w:fldCharType="separate"/>
        </w:r>
        <w:r w:rsidR="00091568">
          <w:rPr>
            <w:noProof/>
          </w:rPr>
          <w:t>40</w:t>
        </w:r>
        <w:r w:rsidR="00091568">
          <w:rPr>
            <w:noProof/>
          </w:rPr>
          <w:fldChar w:fldCharType="end"/>
        </w:r>
      </w:hyperlink>
    </w:p>
    <w:p w14:paraId="712A4175" w14:textId="77777777" w:rsidR="00091568" w:rsidRDefault="003511EF">
      <w:pPr>
        <w:pStyle w:val="Spistreci3"/>
        <w:tabs>
          <w:tab w:val="left" w:pos="2880"/>
        </w:tabs>
        <w:rPr>
          <w:rFonts w:asciiTheme="minorHAnsi" w:eastAsiaTheme="minorEastAsia" w:hAnsiTheme="minorHAnsi" w:cstheme="minorBidi"/>
          <w:noProof/>
          <w:sz w:val="22"/>
          <w:szCs w:val="22"/>
          <w:lang w:val="en-GB" w:eastAsia="en-GB" w:bidi="ar-SA"/>
        </w:rPr>
      </w:pPr>
      <w:hyperlink w:anchor="_Toc30764085" w:history="1">
        <w:r w:rsidR="00091568" w:rsidRPr="00D77C52">
          <w:rPr>
            <w:rStyle w:val="Hipercze"/>
            <w:noProof/>
          </w:rPr>
          <w:t xml:space="preserve">II.27.7 </w:t>
        </w:r>
        <w:r w:rsidR="00091568">
          <w:rPr>
            <w:rFonts w:asciiTheme="minorHAnsi" w:eastAsiaTheme="minorEastAsia" w:hAnsiTheme="minorHAnsi" w:cstheme="minorBidi"/>
            <w:noProof/>
            <w:sz w:val="22"/>
            <w:szCs w:val="22"/>
            <w:lang w:val="en-GB" w:eastAsia="en-GB" w:bidi="ar-SA"/>
          </w:rPr>
          <w:tab/>
        </w:r>
        <w:r w:rsidR="00091568" w:rsidRPr="00D77C52">
          <w:rPr>
            <w:rStyle w:val="Hipercze"/>
            <w:noProof/>
          </w:rPr>
          <w:t>Korekta systemowych lub powtarzających się nieprawidłowości, nadużyć finansowych lub naruszeń obowiązków</w:t>
        </w:r>
        <w:r w:rsidR="00091568">
          <w:rPr>
            <w:noProof/>
          </w:rPr>
          <w:tab/>
        </w:r>
        <w:r w:rsidR="00091568">
          <w:rPr>
            <w:noProof/>
          </w:rPr>
          <w:fldChar w:fldCharType="begin"/>
        </w:r>
        <w:r w:rsidR="00091568">
          <w:rPr>
            <w:noProof/>
          </w:rPr>
          <w:instrText xml:space="preserve"> PAGEREF _Toc30764085 \h </w:instrText>
        </w:r>
        <w:r w:rsidR="00091568">
          <w:rPr>
            <w:noProof/>
          </w:rPr>
        </w:r>
        <w:r w:rsidR="00091568">
          <w:rPr>
            <w:noProof/>
          </w:rPr>
          <w:fldChar w:fldCharType="separate"/>
        </w:r>
        <w:r w:rsidR="00091568">
          <w:rPr>
            <w:noProof/>
          </w:rPr>
          <w:t>40</w:t>
        </w:r>
        <w:r w:rsidR="00091568">
          <w:rPr>
            <w:noProof/>
          </w:rPr>
          <w:fldChar w:fldCharType="end"/>
        </w:r>
      </w:hyperlink>
    </w:p>
    <w:p w14:paraId="7D1E13CC" w14:textId="77777777" w:rsidR="00091568" w:rsidRDefault="003511EF">
      <w:pPr>
        <w:pStyle w:val="Spistreci3"/>
        <w:tabs>
          <w:tab w:val="left" w:pos="2880"/>
        </w:tabs>
        <w:rPr>
          <w:rFonts w:asciiTheme="minorHAnsi" w:eastAsiaTheme="minorEastAsia" w:hAnsiTheme="minorHAnsi" w:cstheme="minorBidi"/>
          <w:noProof/>
          <w:sz w:val="22"/>
          <w:szCs w:val="22"/>
          <w:lang w:val="en-GB" w:eastAsia="en-GB" w:bidi="ar-SA"/>
        </w:rPr>
      </w:pPr>
      <w:hyperlink w:anchor="_Toc30764086" w:history="1">
        <w:r w:rsidR="00091568" w:rsidRPr="00D77C52">
          <w:rPr>
            <w:rStyle w:val="Hipercze"/>
            <w:noProof/>
          </w:rPr>
          <w:t>II.27.8</w:t>
        </w:r>
        <w:r w:rsidR="00091568">
          <w:rPr>
            <w:rFonts w:asciiTheme="minorHAnsi" w:eastAsiaTheme="minorEastAsia" w:hAnsiTheme="minorHAnsi" w:cstheme="minorBidi"/>
            <w:noProof/>
            <w:sz w:val="22"/>
            <w:szCs w:val="22"/>
            <w:lang w:val="en-GB" w:eastAsia="en-GB" w:bidi="ar-SA"/>
          </w:rPr>
          <w:tab/>
        </w:r>
        <w:r w:rsidR="00091568" w:rsidRPr="00D77C52">
          <w:rPr>
            <w:rStyle w:val="Hipercze"/>
            <w:noProof/>
          </w:rPr>
          <w:t>Prawa OLAF-u</w:t>
        </w:r>
        <w:r w:rsidR="00091568">
          <w:rPr>
            <w:noProof/>
          </w:rPr>
          <w:tab/>
        </w:r>
        <w:r w:rsidR="00091568">
          <w:rPr>
            <w:noProof/>
          </w:rPr>
          <w:fldChar w:fldCharType="begin"/>
        </w:r>
        <w:r w:rsidR="00091568">
          <w:rPr>
            <w:noProof/>
          </w:rPr>
          <w:instrText xml:space="preserve"> PAGEREF _Toc30764086 \h </w:instrText>
        </w:r>
        <w:r w:rsidR="00091568">
          <w:rPr>
            <w:noProof/>
          </w:rPr>
        </w:r>
        <w:r w:rsidR="00091568">
          <w:rPr>
            <w:noProof/>
          </w:rPr>
          <w:fldChar w:fldCharType="separate"/>
        </w:r>
        <w:r w:rsidR="00091568">
          <w:rPr>
            <w:noProof/>
          </w:rPr>
          <w:t>43</w:t>
        </w:r>
        <w:r w:rsidR="00091568">
          <w:rPr>
            <w:noProof/>
          </w:rPr>
          <w:fldChar w:fldCharType="end"/>
        </w:r>
      </w:hyperlink>
    </w:p>
    <w:p w14:paraId="05EA6157" w14:textId="77777777" w:rsidR="00091568" w:rsidRDefault="003511EF">
      <w:pPr>
        <w:pStyle w:val="Spistreci3"/>
        <w:tabs>
          <w:tab w:val="left" w:pos="2880"/>
        </w:tabs>
        <w:rPr>
          <w:rFonts w:asciiTheme="minorHAnsi" w:eastAsiaTheme="minorEastAsia" w:hAnsiTheme="minorHAnsi" w:cstheme="minorBidi"/>
          <w:noProof/>
          <w:sz w:val="22"/>
          <w:szCs w:val="22"/>
          <w:lang w:val="en-GB" w:eastAsia="en-GB" w:bidi="ar-SA"/>
        </w:rPr>
      </w:pPr>
      <w:hyperlink w:anchor="_Toc30764087" w:history="1">
        <w:r w:rsidR="00091568" w:rsidRPr="00D77C52">
          <w:rPr>
            <w:rStyle w:val="Hipercze"/>
            <w:noProof/>
          </w:rPr>
          <w:t>II.27.9</w:t>
        </w:r>
        <w:r w:rsidR="00091568">
          <w:rPr>
            <w:rFonts w:asciiTheme="minorHAnsi" w:eastAsiaTheme="minorEastAsia" w:hAnsiTheme="minorHAnsi" w:cstheme="minorBidi"/>
            <w:noProof/>
            <w:sz w:val="22"/>
            <w:szCs w:val="22"/>
            <w:lang w:val="en-GB" w:eastAsia="en-GB" w:bidi="ar-SA"/>
          </w:rPr>
          <w:tab/>
        </w:r>
        <w:r w:rsidR="00091568" w:rsidRPr="00D77C52">
          <w:rPr>
            <w:rStyle w:val="Hipercze"/>
            <w:noProof/>
          </w:rPr>
          <w:t>Prawa Europejskiego Trybunału Obrachunkowego i Prokuratury Europejskiej</w:t>
        </w:r>
        <w:r w:rsidR="00091568">
          <w:rPr>
            <w:noProof/>
          </w:rPr>
          <w:tab/>
        </w:r>
        <w:r w:rsidR="00091568">
          <w:rPr>
            <w:noProof/>
          </w:rPr>
          <w:fldChar w:fldCharType="begin"/>
        </w:r>
        <w:r w:rsidR="00091568">
          <w:rPr>
            <w:noProof/>
          </w:rPr>
          <w:instrText xml:space="preserve"> PAGEREF _Toc30764087 \h </w:instrText>
        </w:r>
        <w:r w:rsidR="00091568">
          <w:rPr>
            <w:noProof/>
          </w:rPr>
        </w:r>
        <w:r w:rsidR="00091568">
          <w:rPr>
            <w:noProof/>
          </w:rPr>
          <w:fldChar w:fldCharType="separate"/>
        </w:r>
        <w:r w:rsidR="00091568">
          <w:rPr>
            <w:noProof/>
          </w:rPr>
          <w:t>43</w:t>
        </w:r>
        <w:r w:rsidR="00091568">
          <w:rPr>
            <w:noProof/>
          </w:rPr>
          <w:fldChar w:fldCharType="end"/>
        </w:r>
      </w:hyperlink>
    </w:p>
    <w:p w14:paraId="0BA4ED32" w14:textId="77777777" w:rsidR="00EB128A" w:rsidRDefault="00C274D9">
      <w:pPr>
        <w:pStyle w:val="Spistreci1"/>
        <w:rPr>
          <w:rFonts w:asciiTheme="minorHAnsi" w:eastAsiaTheme="minorEastAsia" w:hAnsiTheme="minorHAnsi" w:cstheme="minorBidi"/>
          <w:b w:val="0"/>
          <w:caps w:val="0"/>
          <w:noProof/>
          <w:sz w:val="22"/>
          <w:szCs w:val="22"/>
        </w:rPr>
      </w:pPr>
      <w:r>
        <w:rPr>
          <w:b w:val="0"/>
          <w:caps w:val="0"/>
        </w:rPr>
        <w:fldChar w:fldCharType="end"/>
      </w:r>
    </w:p>
    <w:p w14:paraId="512C5F8B" w14:textId="77777777" w:rsidR="00C274D9" w:rsidRDefault="00C274D9" w:rsidP="00C274D9"/>
    <w:p w14:paraId="2E5A432B" w14:textId="77777777" w:rsidR="00797DE7" w:rsidRDefault="00797DE7" w:rsidP="00C274D9">
      <w:pPr>
        <w:sectPr w:rsidR="00797DE7" w:rsidSect="00BF4ABF">
          <w:headerReference w:type="default" r:id="rId11"/>
          <w:footerReference w:type="default" r:id="rId12"/>
          <w:pgSz w:w="11906" w:h="16838" w:code="9"/>
          <w:pgMar w:top="1304" w:right="1418" w:bottom="1304" w:left="1418" w:header="567" w:footer="567" w:gutter="0"/>
          <w:cols w:space="708"/>
          <w:docGrid w:linePitch="360"/>
        </w:sectPr>
      </w:pPr>
    </w:p>
    <w:p w14:paraId="57CFA322" w14:textId="77777777" w:rsidR="00280365" w:rsidRPr="00345713" w:rsidRDefault="00280365" w:rsidP="00D43191">
      <w:pPr>
        <w:pStyle w:val="Nagwek1"/>
      </w:pPr>
      <w:bookmarkStart w:id="9" w:name="_Toc441250816"/>
      <w:bookmarkStart w:id="10" w:name="_Toc530496912"/>
      <w:bookmarkStart w:id="11" w:name="_Toc30764013"/>
      <w:bookmarkStart w:id="12" w:name="_Toc97092408"/>
      <w:r>
        <w:lastRenderedPageBreak/>
        <w:t>CZĘŚĆ A – POSTANOWIENIA PRAWNE I ADMINISTRACYJNE</w:t>
      </w:r>
      <w:bookmarkEnd w:id="9"/>
      <w:bookmarkEnd w:id="10"/>
      <w:bookmarkEnd w:id="11"/>
    </w:p>
    <w:p w14:paraId="53B23960" w14:textId="77777777" w:rsidR="00FE696A" w:rsidRPr="00345713" w:rsidRDefault="000A4F91" w:rsidP="00D43191">
      <w:pPr>
        <w:pStyle w:val="Nagwek2"/>
      </w:pPr>
      <w:bookmarkStart w:id="13" w:name="_Toc441250817"/>
      <w:bookmarkStart w:id="14" w:name="_Toc530496913"/>
      <w:bookmarkStart w:id="15" w:name="_Toc30764014"/>
      <w:r>
        <w:t>Artykuł II.1 – Definicje</w:t>
      </w:r>
      <w:bookmarkEnd w:id="13"/>
      <w:bookmarkEnd w:id="14"/>
      <w:bookmarkEnd w:id="15"/>
    </w:p>
    <w:p w14:paraId="774FF289" w14:textId="77777777" w:rsidR="00BF1449" w:rsidRPr="00345713" w:rsidRDefault="00BF1449" w:rsidP="00D43191">
      <w:r>
        <w:t>Do celów niniejszej Umowy stosuje się następujące definicje:</w:t>
      </w:r>
    </w:p>
    <w:p w14:paraId="511869BB" w14:textId="77777777" w:rsidR="005A2136" w:rsidRDefault="008021C5" w:rsidP="00D43191">
      <w:r>
        <w:rPr>
          <w:b/>
        </w:rPr>
        <w:t>„działanie”</w:t>
      </w:r>
      <w:r>
        <w:t>:</w:t>
      </w:r>
      <w:r>
        <w:rPr>
          <w:b/>
        </w:rPr>
        <w:t xml:space="preserve"> </w:t>
      </w:r>
      <w:r>
        <w:t>zbiór działań lub projekt objęte dotacją, które mają zostać zrealizowane przez beneficjentów, jak opisano</w:t>
      </w:r>
      <w:r w:rsidR="00C24B90">
        <w:t xml:space="preserve"> w zał</w:t>
      </w:r>
      <w:r>
        <w:t>ączniku I;</w:t>
      </w:r>
    </w:p>
    <w:p w14:paraId="309CFD6E" w14:textId="77777777" w:rsidR="00FE696A" w:rsidRPr="00345713" w:rsidRDefault="00486CFB" w:rsidP="00D43191">
      <w:r>
        <w:rPr>
          <w:b/>
        </w:rPr>
        <w:t>„naruszenie obowiązków</w:t>
      </w:r>
      <w:r>
        <w:t>:</w:t>
      </w:r>
      <w:r>
        <w:rPr>
          <w:b/>
        </w:rPr>
        <w:t xml:space="preserve"> </w:t>
      </w:r>
      <w:r>
        <w:t>niewywiązanie się przez beneficjenta</w:t>
      </w:r>
      <w:r w:rsidR="00C24B90">
        <w:t xml:space="preserve"> z jed</w:t>
      </w:r>
      <w:r>
        <w:t xml:space="preserve">nego lub większej liczby zobowiązań umownych; </w:t>
      </w:r>
      <w:r>
        <w:rPr>
          <w:b/>
        </w:rPr>
        <w:t>„informacje lub dokumenty poufne”</w:t>
      </w:r>
      <w:r>
        <w:t>: wszelkie informacje lub dokumenty (w dowolnym formacie), które jedna ze stron otrzymała od drugiej strony lub do których którakolwiek ze stron miała dostęp</w:t>
      </w:r>
      <w:r w:rsidR="00C24B90">
        <w:t xml:space="preserve"> w kon</w:t>
      </w:r>
      <w:r>
        <w:t>tekście wykonywania Umowy, wskazane na piśmie przez którąkolwiek ze stron jako poufne. Nie obejmują one informacji lub dokumentów, które są publicznie dostępne;</w:t>
      </w:r>
    </w:p>
    <w:p w14:paraId="11B33E47" w14:textId="77777777" w:rsidR="00FE696A" w:rsidRPr="00345713" w:rsidRDefault="008021C5" w:rsidP="00D43191">
      <w:pPr>
        <w:rPr>
          <w:b/>
        </w:rPr>
      </w:pPr>
      <w:r>
        <w:rPr>
          <w:b/>
        </w:rPr>
        <w:t>„konflikt interesów”</w:t>
      </w:r>
      <w:r>
        <w:t>:</w:t>
      </w:r>
      <w:r>
        <w:rPr>
          <w:b/>
        </w:rPr>
        <w:t xml:space="preserve"> </w:t>
      </w:r>
      <w:r>
        <w:t>sytuacja,</w:t>
      </w:r>
      <w:r w:rsidR="00C24B90">
        <w:t xml:space="preserve"> w któ</w:t>
      </w:r>
      <w:r>
        <w:t>rej bezstronne</w:t>
      </w:r>
      <w:r w:rsidR="00C24B90">
        <w:t xml:space="preserve"> i obi</w:t>
      </w:r>
      <w:r>
        <w:t>ektywne wykonywanie Umowy przez beneficjenta jest zagrożone</w:t>
      </w:r>
      <w:r w:rsidR="00C24B90">
        <w:t xml:space="preserve"> z uwa</w:t>
      </w:r>
      <w:r>
        <w:t>gi na względy rodzinne lub emocjonalne, sympatie polityczne lub przynależność państwową, interes gospodarczy, jakiekolwiek inne bezpośrednie lub pośrednie interesy osobiste lub jakiekolwiek inne interesy wspólne</w:t>
      </w:r>
      <w:r w:rsidR="00C24B90">
        <w:t xml:space="preserve"> z Kom</w:t>
      </w:r>
      <w:r>
        <w:t>isją lub dowolną inną osobą trzecią mające związek</w:t>
      </w:r>
      <w:r w:rsidR="00C24B90">
        <w:t xml:space="preserve"> z prz</w:t>
      </w:r>
      <w:r>
        <w:t>edmiotem Umowy;</w:t>
      </w:r>
    </w:p>
    <w:p w14:paraId="2468F10D" w14:textId="77777777" w:rsidR="00324E1C" w:rsidRPr="00345713" w:rsidRDefault="008021C5" w:rsidP="00D43191">
      <w:r>
        <w:rPr>
          <w:b/>
        </w:rPr>
        <w:t>„koszty bezpośrednie”</w:t>
      </w:r>
      <w:r>
        <w:t>: konkretne koszty, które są bezpośrednio związane</w:t>
      </w:r>
      <w:r w:rsidR="00C24B90">
        <w:t xml:space="preserve"> z rea</w:t>
      </w:r>
      <w:r>
        <w:t>lizacją działania</w:t>
      </w:r>
      <w:r w:rsidR="00C24B90">
        <w:t xml:space="preserve"> i któ</w:t>
      </w:r>
      <w:r>
        <w:t>re tym samym mogą zostać bezpośrednio do niego przypisane. Nie mogą one obejmować żadnych kosztów pośrednich;</w:t>
      </w:r>
    </w:p>
    <w:p w14:paraId="68F44F98" w14:textId="77777777" w:rsidR="00E71B03" w:rsidRPr="00345713" w:rsidRDefault="008021C5" w:rsidP="00D43191">
      <w:r>
        <w:rPr>
          <w:b/>
        </w:rPr>
        <w:t>„siła wyższa”</w:t>
      </w:r>
      <w:r>
        <w:t>:</w:t>
      </w:r>
      <w:r>
        <w:rPr>
          <w:b/>
        </w:rPr>
        <w:t xml:space="preserve"> </w:t>
      </w:r>
      <w:r>
        <w:t>wszelkie nieprzewidywalne, wyjątkowe sytuacje lub zdarzenia pozostające poza kontrolą stron</w:t>
      </w:r>
      <w:r w:rsidR="00C24B90">
        <w:t xml:space="preserve"> i uni</w:t>
      </w:r>
      <w:r>
        <w:t>emożliwiające którejkolwiek ze stron wypełnienie któregokolwiek ze swoich zobowiązań umownych, do których nie doszło</w:t>
      </w:r>
      <w:r w:rsidR="00C24B90">
        <w:t xml:space="preserve"> w wyn</w:t>
      </w:r>
      <w:r>
        <w:t>iku błędu ani zaniedbania</w:t>
      </w:r>
      <w:r w:rsidR="00C24B90">
        <w:t xml:space="preserve"> z ich</w:t>
      </w:r>
      <w:r>
        <w:t xml:space="preserve"> strony ani ze strony podwykonawców, podmiotów powiązanych ani osób trzecich otrzymujących wsparcie finansowe</w:t>
      </w:r>
      <w:r w:rsidR="00C24B90">
        <w:t xml:space="preserve"> i któ</w:t>
      </w:r>
      <w:r>
        <w:t>rych nie można było uniknąć pomimo zachowania należytej staranności. Za siłę wyższą nie uznaje się: sporów zbiorowych, strajków, trudności finansowych lub przypadków niewykonania usługi, usterek sprzętu, wad materiałów lub opóźnień</w:t>
      </w:r>
      <w:r w:rsidR="00C24B90">
        <w:t xml:space="preserve"> w ich</w:t>
      </w:r>
      <w:r>
        <w:t xml:space="preserve"> dostawie, chyba że stanowią one bezpośrednie następstwo działania siły wyższej;</w:t>
      </w:r>
    </w:p>
    <w:p w14:paraId="7F9E6C2E" w14:textId="77777777" w:rsidR="00824422" w:rsidRPr="00345713" w:rsidRDefault="008021C5" w:rsidP="001134CC">
      <w:pPr>
        <w:pStyle w:val="Akapitzlist"/>
        <w:spacing w:after="0"/>
        <w:ind w:left="0"/>
        <w:contextualSpacing w:val="0"/>
        <w:rPr>
          <w:szCs w:val="24"/>
        </w:rPr>
      </w:pPr>
      <w:r>
        <w:rPr>
          <w:b/>
        </w:rPr>
        <w:t>„formalne zawiadomienie”</w:t>
      </w:r>
      <w:r>
        <w:t>: forma komunikacji pisemnej między stronami pocztą tradycyjną lub pocztą elektroniczną,</w:t>
      </w:r>
      <w:r w:rsidR="00C24B90">
        <w:t xml:space="preserve"> w ram</w:t>
      </w:r>
      <w:r>
        <w:t>ach której nadawca otrzymuje przekonujący dowód, że wiadomość została doręczona wskazanemu adresatowi;</w:t>
      </w:r>
    </w:p>
    <w:p w14:paraId="7BA92B7A" w14:textId="77777777" w:rsidR="00CC531C" w:rsidRDefault="008021C5" w:rsidP="00D43191">
      <w:r>
        <w:rPr>
          <w:b/>
        </w:rPr>
        <w:t>„nadużycie finansowe”</w:t>
      </w:r>
      <w:r>
        <w:t>:</w:t>
      </w:r>
      <w:r>
        <w:rPr>
          <w:b/>
        </w:rPr>
        <w:t xml:space="preserve"> </w:t>
      </w:r>
      <w:r>
        <w:t>wszelkie działanie lub zaniechanie, które dotyczy wykorzystania lub przedstawienia nieprawdziwych, niepoprawnych lub niepełnych oświadczeń lub dokumentów, skutkujące sprzeniewierzeniem lub bezprawnym zatrzymaniem środków finansowych lub aktywów</w:t>
      </w:r>
      <w:r w:rsidR="00C24B90">
        <w:t xml:space="preserve"> z bud</w:t>
      </w:r>
      <w:r>
        <w:t>żetu Unii, lub nieujawnienia informacji</w:t>
      </w:r>
      <w:r w:rsidR="00C24B90">
        <w:t xml:space="preserve"> z nar</w:t>
      </w:r>
      <w:r>
        <w:t>uszeniem określonych zobowiązań,</w:t>
      </w:r>
      <w:r w:rsidR="00C24B90">
        <w:t xml:space="preserve"> z tym</w:t>
      </w:r>
      <w:r>
        <w:t xml:space="preserve"> samym skutkiem, lub niewłaściwego wykorzystania takich środków finansowych lub aktywów do celów innych niż te, na które pierwotnie zostały przyznane; </w:t>
      </w:r>
    </w:p>
    <w:p w14:paraId="23F5D072" w14:textId="77777777" w:rsidR="00A35642" w:rsidRPr="00046381" w:rsidRDefault="00A35642" w:rsidP="00A22CC0">
      <w:pPr>
        <w:spacing w:after="40"/>
      </w:pPr>
      <w:r>
        <w:rPr>
          <w:b/>
        </w:rPr>
        <w:t>„poważne wykroczenie zawodowe”</w:t>
      </w:r>
      <w:r>
        <w:t>:</w:t>
      </w:r>
      <w:r>
        <w:rPr>
          <w:b/>
        </w:rPr>
        <w:t xml:space="preserve"> </w:t>
      </w:r>
      <w:r>
        <w:t xml:space="preserve">naruszenie mających zastosowanie przepisów ustawowych lub wykonawczych bądź norm etycznych grupy zawodowej, do której należy dana osoba lub podmiot, lub każde bezprawne zachowanie danej osoby lub podmiotu, które ma </w:t>
      </w:r>
      <w:r>
        <w:lastRenderedPageBreak/>
        <w:t>wpływ na ich zawodową wiarygodność, gdy tego rodzaju zachowanie wskazuje na bezprawny zamiar lub rażące niedbalstwo;</w:t>
      </w:r>
    </w:p>
    <w:p w14:paraId="284A7943" w14:textId="77777777" w:rsidR="00FE696A" w:rsidRPr="00345713" w:rsidRDefault="008021C5" w:rsidP="00D43191">
      <w:pPr>
        <w:rPr>
          <w:b/>
        </w:rPr>
      </w:pPr>
      <w:r>
        <w:rPr>
          <w:b/>
        </w:rPr>
        <w:t xml:space="preserve">„okres realizacji”: </w:t>
      </w:r>
      <w:r>
        <w:t>okres realizacji zadań wchodzących</w:t>
      </w:r>
      <w:r w:rsidR="00C24B90">
        <w:t xml:space="preserve"> w skł</w:t>
      </w:r>
      <w:r>
        <w:t>ad danego działania, jak określono</w:t>
      </w:r>
      <w:r w:rsidR="00C24B90">
        <w:t xml:space="preserve"> w art</w:t>
      </w:r>
      <w:r>
        <w:t>. I.2.2;</w:t>
      </w:r>
    </w:p>
    <w:p w14:paraId="4C1ABCA1" w14:textId="77777777" w:rsidR="00EB7F91" w:rsidRPr="00345713" w:rsidRDefault="008021C5" w:rsidP="00D43191">
      <w:r>
        <w:rPr>
          <w:b/>
        </w:rPr>
        <w:t>„koszty pośrednie”</w:t>
      </w:r>
      <w:r>
        <w:t>: koszty, które nie są konkretnymi kosztami bezpośrednio związanymi</w:t>
      </w:r>
      <w:r w:rsidR="00C24B90">
        <w:t xml:space="preserve"> z rea</w:t>
      </w:r>
      <w:r>
        <w:t>lizacją działania</w:t>
      </w:r>
      <w:r w:rsidR="00C24B90">
        <w:t xml:space="preserve"> i tym</w:t>
      </w:r>
      <w:r>
        <w:t xml:space="preserve"> samym nie mogą zostać bezpośrednio do niego przypisane</w:t>
      </w:r>
      <w:r w:rsidR="00C24B90">
        <w:t>. W skł</w:t>
      </w:r>
      <w:r>
        <w:t>ad takich kosztów nie mogą wchodzić żadne koszty wskazane lub zadeklarowane jako kwalifikowalne koszty bezpośrednie;</w:t>
      </w:r>
    </w:p>
    <w:p w14:paraId="38C35CA8" w14:textId="77777777" w:rsidR="00CC531C" w:rsidRPr="00345713" w:rsidRDefault="008021C5" w:rsidP="00D43191">
      <w:pPr>
        <w:rPr>
          <w:b/>
          <w:szCs w:val="24"/>
        </w:rPr>
      </w:pPr>
      <w:r>
        <w:rPr>
          <w:b/>
        </w:rPr>
        <w:t>„nieprawidłowość”:</w:t>
      </w:r>
      <w:r>
        <w:t xml:space="preserve"> każdy przypadek naruszenia przepisu prawa Unii wskutek działania lub zaniedbania ze strony beneficjenta, który wywarł lub mógłby wywrzeć negatywny wpływ na budżet Unii;</w:t>
      </w:r>
    </w:p>
    <w:p w14:paraId="39C66FA6" w14:textId="77777777" w:rsidR="00FE696A" w:rsidRPr="00345713" w:rsidRDefault="008021C5" w:rsidP="00D43191">
      <w:pPr>
        <w:rPr>
          <w:szCs w:val="24"/>
        </w:rPr>
      </w:pPr>
      <w:r>
        <w:rPr>
          <w:b/>
        </w:rPr>
        <w:t xml:space="preserve">„maksymalna kwota dotacji”: </w:t>
      </w:r>
      <w:r>
        <w:t>maksymalna kwota wkładu UE</w:t>
      </w:r>
      <w:r w:rsidR="00C24B90">
        <w:t xml:space="preserve"> w rea</w:t>
      </w:r>
      <w:r>
        <w:t>lizację działania, jak określono</w:t>
      </w:r>
      <w:r w:rsidR="00C24B90">
        <w:t xml:space="preserve"> w art</w:t>
      </w:r>
      <w:r>
        <w:t>. I.3.1;</w:t>
      </w:r>
    </w:p>
    <w:p w14:paraId="0CB60C3F" w14:textId="77777777" w:rsidR="006F1EBE" w:rsidRPr="00345713" w:rsidRDefault="008021C5" w:rsidP="00D43191">
      <w:pPr>
        <w:rPr>
          <w:szCs w:val="24"/>
        </w:rPr>
      </w:pPr>
      <w:r>
        <w:rPr>
          <w:b/>
        </w:rPr>
        <w:t xml:space="preserve">„wcześniej istniejące materiały”: </w:t>
      </w:r>
      <w:r>
        <w:t>wszelkie materiały, dokumenty, technologie lub wiedza ekspercka istniejące przed wykorzystaniem ich przez beneficjenta do uzyskania pożądanego rezultatu wskutek realizacji działania;</w:t>
      </w:r>
    </w:p>
    <w:p w14:paraId="3F0097AA" w14:textId="77777777" w:rsidR="002A4826" w:rsidRPr="00345713" w:rsidRDefault="008021C5" w:rsidP="00D43191">
      <w:pPr>
        <w:rPr>
          <w:b/>
          <w:szCs w:val="24"/>
        </w:rPr>
      </w:pPr>
      <w:r>
        <w:rPr>
          <w:b/>
        </w:rPr>
        <w:t xml:space="preserve">„wcześniej istniejące prawo”: </w:t>
      </w:r>
      <w:r>
        <w:t>wszelkie wcześniej istniejące prawa własności przemysłowej lub intelektualnej do wcześniej istniejącego materiału; może obejmować prawo własności, licencję lub prawo użytkowania przysługujące beneficjentowi lub dowolnej innej osobie trzeciej;</w:t>
      </w:r>
    </w:p>
    <w:p w14:paraId="14C7393D" w14:textId="77777777" w:rsidR="00D46145" w:rsidRPr="00C24B90" w:rsidRDefault="008021C5" w:rsidP="00D43191">
      <w:pPr>
        <w:rPr>
          <w:color w:val="000000"/>
          <w:szCs w:val="24"/>
        </w:rPr>
      </w:pPr>
      <w:r>
        <w:rPr>
          <w:b/>
          <w:color w:val="000000"/>
        </w:rPr>
        <w:t>„osoba powiązana”</w:t>
      </w:r>
      <w:r>
        <w:t>:</w:t>
      </w:r>
      <w:r>
        <w:rPr>
          <w:color w:val="000000"/>
        </w:rPr>
        <w:t xml:space="preserve"> osoba fizyczna lub prawna, która jest członkiem organu administracyjnego, zarządczego lub nadzorczego beneficjenta lub która posiada uprawnienia do reprezentowania, uprawnienia decyzyjne lub kontrolne</w:t>
      </w:r>
      <w:r w:rsidR="00C24B90">
        <w:rPr>
          <w:color w:val="000000"/>
        </w:rPr>
        <w:t xml:space="preserve"> w odn</w:t>
      </w:r>
      <w:r>
        <w:rPr>
          <w:color w:val="000000"/>
        </w:rPr>
        <w:t>iesieniu do beneficjenta</w:t>
      </w:r>
      <w:r w:rsidRPr="00C24B90">
        <w:rPr>
          <w:color w:val="000000"/>
        </w:rPr>
        <w:t>;</w:t>
      </w:r>
      <w:r w:rsidR="00C24B90" w:rsidRPr="00C24B90">
        <w:rPr>
          <w:color w:val="000000"/>
        </w:rPr>
        <w:t xml:space="preserve"> </w:t>
      </w:r>
    </w:p>
    <w:p w14:paraId="39EBA2E4" w14:textId="77777777" w:rsidR="00FE696A" w:rsidRPr="00345713" w:rsidRDefault="008021C5" w:rsidP="00D43191">
      <w:pPr>
        <w:rPr>
          <w:b/>
        </w:rPr>
      </w:pPr>
      <w:r>
        <w:rPr>
          <w:b/>
        </w:rPr>
        <w:t xml:space="preserve">„data rozpoczęcia”: </w:t>
      </w:r>
      <w:r>
        <w:t>data rozpoczęcia realizacji działania, jak określono</w:t>
      </w:r>
      <w:r w:rsidR="00C24B90">
        <w:t xml:space="preserve"> w art</w:t>
      </w:r>
      <w:r>
        <w:t>. I.2.2;</w:t>
      </w:r>
    </w:p>
    <w:p w14:paraId="1FD4D47B" w14:textId="77777777" w:rsidR="00AB3D77" w:rsidRPr="00345713" w:rsidRDefault="008021C5" w:rsidP="00D43191">
      <w:pPr>
        <w:rPr>
          <w:b/>
        </w:rPr>
      </w:pPr>
      <w:r>
        <w:rPr>
          <w:b/>
        </w:rPr>
        <w:t>„umowa</w:t>
      </w:r>
      <w:r w:rsidR="00C24B90">
        <w:rPr>
          <w:b/>
        </w:rPr>
        <w:t xml:space="preserve"> o pod</w:t>
      </w:r>
      <w:r>
        <w:rPr>
          <w:b/>
        </w:rPr>
        <w:t xml:space="preserve">wykonawstwo”: </w:t>
      </w:r>
      <w:r>
        <w:t>jest umową</w:t>
      </w:r>
      <w:r w:rsidR="00C24B90">
        <w:t xml:space="preserve"> w spr</w:t>
      </w:r>
      <w:r>
        <w:t>awie zamówienia publicznego</w:t>
      </w:r>
      <w:r w:rsidR="00C24B90">
        <w:t xml:space="preserve"> w roz</w:t>
      </w:r>
      <w:r>
        <w:t>umieniu art. II.10, która obejmuje realizację przez osoby trzecie zadań stanowiących część działania, jak opisano</w:t>
      </w:r>
      <w:r w:rsidR="00C24B90">
        <w:t xml:space="preserve"> w zał</w:t>
      </w:r>
      <w:r>
        <w:t>ączniku I</w:t>
      </w:r>
      <w:r w:rsidR="00496B83">
        <w:t>I</w:t>
      </w:r>
      <w:r>
        <w:t>.</w:t>
      </w:r>
    </w:p>
    <w:p w14:paraId="42E82962" w14:textId="77777777" w:rsidR="00860C46" w:rsidRPr="00345713" w:rsidRDefault="000A4F91" w:rsidP="00D43191">
      <w:pPr>
        <w:pStyle w:val="Nagwek2"/>
      </w:pPr>
      <w:bookmarkStart w:id="16" w:name="_Toc441250818"/>
      <w:bookmarkStart w:id="17" w:name="_Toc530496914"/>
      <w:bookmarkStart w:id="18" w:name="_Toc30764015"/>
      <w:r>
        <w:t>Artykuł II.2 – Obowiązki ogólne</w:t>
      </w:r>
      <w:r w:rsidR="00C24B90">
        <w:t xml:space="preserve"> i rol</w:t>
      </w:r>
      <w:r>
        <w:t>a beneficjentów</w:t>
      </w:r>
      <w:bookmarkEnd w:id="12"/>
      <w:bookmarkEnd w:id="16"/>
      <w:bookmarkEnd w:id="17"/>
      <w:bookmarkEnd w:id="18"/>
    </w:p>
    <w:p w14:paraId="5F885F01" w14:textId="77777777" w:rsidR="00C04488" w:rsidRPr="00345713" w:rsidRDefault="006D7FBA" w:rsidP="00D43191">
      <w:pPr>
        <w:pStyle w:val="Nagwek3"/>
      </w:pPr>
      <w:bookmarkStart w:id="19" w:name="_Toc441250819"/>
      <w:bookmarkStart w:id="20" w:name="_Toc530496915"/>
      <w:bookmarkStart w:id="21" w:name="_Toc30764016"/>
      <w:r>
        <w:t>II.2.1</w:t>
      </w:r>
      <w:r>
        <w:tab/>
        <w:t>Obowiązki ogólne</w:t>
      </w:r>
      <w:r w:rsidR="00C24B90">
        <w:t xml:space="preserve"> i rol</w:t>
      </w:r>
      <w:r>
        <w:t>a beneficjentów</w:t>
      </w:r>
      <w:bookmarkEnd w:id="19"/>
      <w:bookmarkEnd w:id="20"/>
      <w:bookmarkEnd w:id="21"/>
    </w:p>
    <w:p w14:paraId="0DB1915E" w14:textId="77777777" w:rsidR="00860C46" w:rsidRPr="00345713" w:rsidRDefault="00D43191" w:rsidP="00D43191">
      <w:r>
        <w:t>Beneficjenci:</w:t>
      </w:r>
    </w:p>
    <w:p w14:paraId="70227B1E" w14:textId="77777777" w:rsidR="00860C46" w:rsidRPr="00345713" w:rsidRDefault="00395085" w:rsidP="005F0D03">
      <w:pPr>
        <w:spacing w:before="240" w:after="0"/>
        <w:ind w:left="567" w:hanging="567"/>
        <w:rPr>
          <w:szCs w:val="24"/>
        </w:rPr>
      </w:pPr>
      <w:r>
        <w:t>a)</w:t>
      </w:r>
      <w:r>
        <w:tab/>
        <w:t>ponoszą solidarną odpowiedzialność za przeprowadzanie działania zgodnie</w:t>
      </w:r>
      <w:r w:rsidR="00C24B90">
        <w:t xml:space="preserve"> z war</w:t>
      </w:r>
      <w:r>
        <w:t>unkami Umowy. Jeżeli beneficjent nie zrealizuje swojej części działania, pozostali beneficjenci stają się odpowiedzialni za realizację tej części (bez zwiększania maksymalnej kwoty dotacji);</w:t>
      </w:r>
    </w:p>
    <w:p w14:paraId="75DA2209" w14:textId="77777777" w:rsidR="00860C46" w:rsidRPr="00345713" w:rsidRDefault="00395085" w:rsidP="00745320">
      <w:pPr>
        <w:spacing w:before="240" w:after="0"/>
        <w:ind w:left="567" w:hanging="567"/>
        <w:rPr>
          <w:szCs w:val="24"/>
        </w:rPr>
      </w:pPr>
      <w:r>
        <w:t>b)</w:t>
      </w:r>
      <w:r>
        <w:tab/>
        <w:t>muszą wspólnie lub indywidualnie wypełniać wszelkie obowiązki prawne, jakimi są związani zgodnie</w:t>
      </w:r>
      <w:r w:rsidR="00C24B90">
        <w:t xml:space="preserve"> z obo</w:t>
      </w:r>
      <w:r>
        <w:t>wiązującymi przepisami prawa unijnego, międzynarodowego</w:t>
      </w:r>
      <w:r w:rsidR="00C24B90">
        <w:t xml:space="preserve"> i kra</w:t>
      </w:r>
      <w:r>
        <w:t>jowego;</w:t>
      </w:r>
    </w:p>
    <w:p w14:paraId="4C58A217" w14:textId="77777777" w:rsidR="00860C46" w:rsidRPr="00345713" w:rsidRDefault="00395085" w:rsidP="00242651">
      <w:pPr>
        <w:spacing w:before="240" w:after="0"/>
        <w:ind w:left="567" w:hanging="567"/>
        <w:rPr>
          <w:szCs w:val="24"/>
        </w:rPr>
      </w:pPr>
      <w:r>
        <w:lastRenderedPageBreak/>
        <w:t>c)</w:t>
      </w:r>
      <w:r>
        <w:tab/>
        <w:t>muszą dokonać odpowiednich ustaleń wewnętrznych, aby we właściwy sposób zrealizować działanie. Ustalenia te muszą być zgodne</w:t>
      </w:r>
      <w:r w:rsidR="00C24B90">
        <w:t xml:space="preserve"> z war</w:t>
      </w:r>
      <w:r>
        <w:t>unkami Umowy. Jeżeli tak określono</w:t>
      </w:r>
      <w:r w:rsidR="00C24B90">
        <w:t xml:space="preserve"> w War</w:t>
      </w:r>
      <w:r>
        <w:t>unkach Szczegółowych, ustalenia te muszą przyjąć formę wewnętrznej umowy</w:t>
      </w:r>
      <w:r w:rsidR="00C24B90">
        <w:t xml:space="preserve"> o wsp</w:t>
      </w:r>
      <w:r>
        <w:t>ółpracy pomiędzy beneficjentami.</w:t>
      </w:r>
    </w:p>
    <w:p w14:paraId="7F4F18B4" w14:textId="77777777" w:rsidR="0025073B" w:rsidRDefault="0025073B" w:rsidP="00D43191">
      <w:pPr>
        <w:pStyle w:val="Nagwek3"/>
      </w:pPr>
      <w:bookmarkStart w:id="22" w:name="_Toc441250820"/>
      <w:bookmarkStart w:id="23" w:name="_Toc530496916"/>
    </w:p>
    <w:p w14:paraId="1873B51E" w14:textId="77777777" w:rsidR="00BF6E96" w:rsidRPr="00345713" w:rsidRDefault="00860C46" w:rsidP="00D43191">
      <w:pPr>
        <w:pStyle w:val="Nagwek3"/>
      </w:pPr>
      <w:bookmarkStart w:id="24" w:name="_Toc30764017"/>
      <w:r>
        <w:t>II.2.2</w:t>
      </w:r>
      <w:r>
        <w:tab/>
        <w:t>Obowiązki ogólne</w:t>
      </w:r>
      <w:r w:rsidR="00C24B90">
        <w:t xml:space="preserve"> i rol</w:t>
      </w:r>
      <w:r>
        <w:t>a każdego beneficjenta</w:t>
      </w:r>
      <w:bookmarkEnd w:id="22"/>
      <w:bookmarkEnd w:id="23"/>
      <w:bookmarkEnd w:id="24"/>
    </w:p>
    <w:p w14:paraId="29F7FFF7" w14:textId="77777777" w:rsidR="00860C46" w:rsidRPr="00345713" w:rsidRDefault="00860C46" w:rsidP="00696E62">
      <w:pPr>
        <w:spacing w:after="0"/>
        <w:rPr>
          <w:szCs w:val="24"/>
        </w:rPr>
      </w:pPr>
      <w:r>
        <w:t>Każdy beneficjent ma obowiązek:</w:t>
      </w:r>
    </w:p>
    <w:p w14:paraId="2A2365D2" w14:textId="77777777" w:rsidR="00860C46" w:rsidRPr="00345713" w:rsidRDefault="00395085" w:rsidP="00242651">
      <w:pPr>
        <w:tabs>
          <w:tab w:val="left" w:pos="567"/>
        </w:tabs>
        <w:spacing w:before="240" w:after="0"/>
        <w:ind w:left="567" w:hanging="567"/>
        <w:rPr>
          <w:szCs w:val="24"/>
        </w:rPr>
      </w:pPr>
      <w:r>
        <w:t>a)</w:t>
      </w:r>
      <w:r>
        <w:tab/>
        <w:t>niezwłocznie poinformować koordynatora</w:t>
      </w:r>
      <w:r w:rsidR="00C24B90">
        <w:t xml:space="preserve"> o wsz</w:t>
      </w:r>
      <w:r>
        <w:t>elkich wiadomych beneficjentowi wydarzeniach lub okolicznościach, które mogą wpływać na realizację działania lub je opóźnić;</w:t>
      </w:r>
    </w:p>
    <w:p w14:paraId="2B0600E2" w14:textId="77777777" w:rsidR="00164D55" w:rsidRPr="00345713" w:rsidRDefault="00395085" w:rsidP="00242651">
      <w:pPr>
        <w:tabs>
          <w:tab w:val="left" w:pos="567"/>
        </w:tabs>
        <w:spacing w:before="240" w:after="0"/>
        <w:ind w:left="567" w:hanging="567"/>
        <w:rPr>
          <w:szCs w:val="24"/>
        </w:rPr>
      </w:pPr>
      <w:r>
        <w:t>b)</w:t>
      </w:r>
      <w:r>
        <w:tab/>
        <w:t>niezwłocznie poinformować koordynatora o:</w:t>
      </w:r>
    </w:p>
    <w:p w14:paraId="205C9E8B" w14:textId="77777777" w:rsidR="00164D55" w:rsidRPr="00345713" w:rsidRDefault="00AC5DD4" w:rsidP="003A2A37">
      <w:pPr>
        <w:numPr>
          <w:ilvl w:val="0"/>
          <w:numId w:val="75"/>
        </w:numPr>
      </w:pPr>
      <w:r>
        <w:t>wszelkich zmianach swojej sytuacji prawnej, finansowej, technicznej, organizacyjnej lub dotyczącej własności oraz</w:t>
      </w:r>
      <w:r w:rsidR="00C24B90">
        <w:t xml:space="preserve"> o wsz</w:t>
      </w:r>
      <w:r>
        <w:t>elkich zmianach swojej nazwy, swojego adresu lub przedstawiciela prawnego;</w:t>
      </w:r>
    </w:p>
    <w:p w14:paraId="1C3AF611" w14:textId="77777777" w:rsidR="00860C46" w:rsidRDefault="009E4EB0" w:rsidP="003A2A37">
      <w:pPr>
        <w:numPr>
          <w:ilvl w:val="0"/>
          <w:numId w:val="75"/>
        </w:numPr>
      </w:pPr>
      <w:r>
        <w:t>wszelkich zmianach sytuacji podmiotów powiązanych</w:t>
      </w:r>
      <w:r w:rsidR="00C24B90">
        <w:t xml:space="preserve"> z ben</w:t>
      </w:r>
      <w:r>
        <w:t>eficjentem pod względem prawnym, finansowym, technicznym, organizacyjnym lub praw własności oraz zmianach ich nazwy, adresu lub przedstawiciela prawnego;</w:t>
      </w:r>
    </w:p>
    <w:p w14:paraId="1CFEAD2A" w14:textId="77777777" w:rsidR="00132EBD" w:rsidRPr="00345713" w:rsidRDefault="00132EBD" w:rsidP="003A2A37">
      <w:pPr>
        <w:numPr>
          <w:ilvl w:val="0"/>
          <w:numId w:val="75"/>
        </w:numPr>
      </w:pPr>
      <w:r>
        <w:t>wszelkich zmianach dotyczących sytuacji wykluczenia wymienionych</w:t>
      </w:r>
      <w:r w:rsidR="00C24B90">
        <w:t xml:space="preserve"> w </w:t>
      </w:r>
      <w:r w:rsidR="00C24B90" w:rsidRPr="00C24B90">
        <w:t>art</w:t>
      </w:r>
      <w:r w:rsidRPr="00C24B90">
        <w:t>.</w:t>
      </w:r>
      <w:r w:rsidR="00C24B90" w:rsidRPr="00C24B90">
        <w:t> </w:t>
      </w:r>
      <w:r w:rsidRPr="00C24B90">
        <w:t>1</w:t>
      </w:r>
      <w:r>
        <w:t>36 rozporządzenia (UE) 2018/1046,</w:t>
      </w:r>
      <w:r w:rsidR="00C24B90">
        <w:t xml:space="preserve"> w tym w odn</w:t>
      </w:r>
      <w:r>
        <w:t>iesieniu do podmiotów</w:t>
      </w:r>
      <w:r w:rsidR="00C24B90">
        <w:t xml:space="preserve"> z nim</w:t>
      </w:r>
      <w:r>
        <w:t xml:space="preserve"> powiązanych;</w:t>
      </w:r>
    </w:p>
    <w:p w14:paraId="7145E691" w14:textId="77777777" w:rsidR="00860C46" w:rsidRPr="00345713" w:rsidRDefault="00395085" w:rsidP="00242651">
      <w:pPr>
        <w:tabs>
          <w:tab w:val="left" w:pos="567"/>
        </w:tabs>
        <w:spacing w:before="240" w:after="0"/>
        <w:ind w:left="567" w:hanging="567"/>
        <w:rPr>
          <w:szCs w:val="24"/>
        </w:rPr>
      </w:pPr>
      <w:r>
        <w:t>c)</w:t>
      </w:r>
      <w:r>
        <w:tab/>
        <w:t>przedłożyć koordynatorowi</w:t>
      </w:r>
      <w:r w:rsidR="00C24B90">
        <w:t xml:space="preserve"> w nal</w:t>
      </w:r>
      <w:r>
        <w:t>eżytym terminie:</w:t>
      </w:r>
    </w:p>
    <w:p w14:paraId="21AB3F5D" w14:textId="77777777" w:rsidR="00860C46" w:rsidRPr="00345713" w:rsidRDefault="002F1E66" w:rsidP="00696E62">
      <w:pPr>
        <w:spacing w:before="240" w:after="0"/>
        <w:ind w:left="993" w:hanging="426"/>
        <w:rPr>
          <w:szCs w:val="24"/>
        </w:rPr>
      </w:pPr>
      <w:r>
        <w:t>(i)</w:t>
      </w:r>
      <w:r>
        <w:tab/>
        <w:t>dane konieczne do opracowania raportów, sprawozdań finansowych</w:t>
      </w:r>
      <w:r w:rsidR="00C24B90">
        <w:t xml:space="preserve"> i inn</w:t>
      </w:r>
      <w:r>
        <w:t>ych dokumentów wymaganych zgodnie</w:t>
      </w:r>
      <w:r w:rsidR="00C24B90">
        <w:t xml:space="preserve"> z Umo</w:t>
      </w:r>
      <w:r>
        <w:t>wą;</w:t>
      </w:r>
    </w:p>
    <w:p w14:paraId="41AAA1D6" w14:textId="77777777" w:rsidR="00860C46" w:rsidRPr="00345713" w:rsidRDefault="002F1E66" w:rsidP="00696E62">
      <w:pPr>
        <w:spacing w:before="240" w:after="0"/>
        <w:ind w:left="993" w:hanging="426"/>
        <w:rPr>
          <w:szCs w:val="24"/>
        </w:rPr>
      </w:pPr>
      <w:r>
        <w:t xml:space="preserve">(ii) </w:t>
      </w:r>
      <w:r>
        <w:tab/>
        <w:t>wszelkie niezbędne dokumenty wymagane na potrzeby audytu, kontroli lub oceny, jak określono</w:t>
      </w:r>
      <w:r w:rsidR="00C24B90">
        <w:t xml:space="preserve"> w art</w:t>
      </w:r>
      <w:r>
        <w:t>. II.27;</w:t>
      </w:r>
    </w:p>
    <w:p w14:paraId="4A0F5A6B" w14:textId="77777777" w:rsidR="001F27EE" w:rsidRPr="00345713" w:rsidRDefault="002F1E66" w:rsidP="00696E62">
      <w:pPr>
        <w:spacing w:before="240" w:after="0"/>
        <w:ind w:left="993" w:hanging="426"/>
        <w:rPr>
          <w:szCs w:val="24"/>
        </w:rPr>
      </w:pPr>
      <w:r>
        <w:t>(iii)</w:t>
      </w:r>
      <w:r>
        <w:tab/>
        <w:t>wszelkie inne informacje, które należy przedstawić Komisji zgodnie</w:t>
      </w:r>
      <w:r w:rsidR="00C24B90">
        <w:t xml:space="preserve"> z Umo</w:t>
      </w:r>
      <w:r>
        <w:t>wą,</w:t>
      </w:r>
      <w:r w:rsidR="00C24B90">
        <w:t xml:space="preserve"> z wyj</w:t>
      </w:r>
      <w:r>
        <w:t>ątkiem przypadków, gdy</w:t>
      </w:r>
      <w:r w:rsidR="00C24B90">
        <w:t xml:space="preserve"> w Umo</w:t>
      </w:r>
      <w:r>
        <w:t>wie wymagane jest, aby takie informacje zostały przekazane bezpośrednio przez beneficjenta.</w:t>
      </w:r>
    </w:p>
    <w:p w14:paraId="4A0CA63E" w14:textId="77777777" w:rsidR="00C04488" w:rsidRPr="00345713" w:rsidRDefault="00860C46" w:rsidP="00D43191">
      <w:pPr>
        <w:pStyle w:val="Nagwek3"/>
      </w:pPr>
      <w:bookmarkStart w:id="25" w:name="_Toc441250821"/>
      <w:bookmarkStart w:id="26" w:name="_Toc530496917"/>
      <w:bookmarkStart w:id="27" w:name="_Toc30764018"/>
      <w:r>
        <w:t>II.2.3</w:t>
      </w:r>
      <w:r>
        <w:tab/>
        <w:t>Obowiązki ogólne</w:t>
      </w:r>
      <w:r w:rsidR="00C24B90">
        <w:t xml:space="preserve"> i rol</w:t>
      </w:r>
      <w:r>
        <w:t>a koordynatora</w:t>
      </w:r>
      <w:bookmarkEnd w:id="25"/>
      <w:bookmarkEnd w:id="26"/>
      <w:bookmarkEnd w:id="27"/>
    </w:p>
    <w:p w14:paraId="62527D86" w14:textId="77777777" w:rsidR="00860C46" w:rsidRPr="00345713" w:rsidRDefault="00860C46" w:rsidP="00D43191">
      <w:r>
        <w:t>Koordynator:</w:t>
      </w:r>
    </w:p>
    <w:p w14:paraId="11A67831" w14:textId="77777777" w:rsidR="00860C46" w:rsidRPr="00345713" w:rsidRDefault="00304B08" w:rsidP="00D43191">
      <w:pPr>
        <w:widowControl w:val="0"/>
        <w:tabs>
          <w:tab w:val="left" w:pos="567"/>
        </w:tabs>
        <w:ind w:left="567" w:hanging="567"/>
        <w:rPr>
          <w:szCs w:val="24"/>
        </w:rPr>
      </w:pPr>
      <w:r>
        <w:t>a)</w:t>
      </w:r>
      <w:r>
        <w:tab/>
        <w:t>musi monitorować proces realizacji działania, aby upewnić się, czy działanie jest realizowane zgodnie</w:t>
      </w:r>
      <w:r w:rsidR="00C24B90">
        <w:t xml:space="preserve"> z war</w:t>
      </w:r>
      <w:r>
        <w:t>unkami Umowy;</w:t>
      </w:r>
    </w:p>
    <w:p w14:paraId="3A5DA29A" w14:textId="77777777" w:rsidR="00860C46" w:rsidRPr="00345713" w:rsidRDefault="00304B08" w:rsidP="00D43191">
      <w:pPr>
        <w:tabs>
          <w:tab w:val="left" w:pos="567"/>
        </w:tabs>
        <w:ind w:left="567" w:hanging="567"/>
        <w:rPr>
          <w:i/>
          <w:szCs w:val="24"/>
        </w:rPr>
      </w:pPr>
      <w:r>
        <w:t>b)</w:t>
      </w:r>
      <w:r>
        <w:tab/>
        <w:t>pełni funkcję pośrednika we wszelkiej komunikacji między beneficjentami</w:t>
      </w:r>
      <w:r w:rsidR="00C24B90">
        <w:t xml:space="preserve"> a Kom</w:t>
      </w:r>
      <w:r>
        <w:t>isją, chyba że Umowa stanowi inaczej</w:t>
      </w:r>
      <w:r w:rsidR="00C24B90">
        <w:t>. W szc</w:t>
      </w:r>
      <w:r>
        <w:t>zególności koordynator:</w:t>
      </w:r>
    </w:p>
    <w:p w14:paraId="3533CDA1" w14:textId="77777777" w:rsidR="00AC5DD4" w:rsidRPr="00345713" w:rsidRDefault="002F1E66" w:rsidP="00D43191">
      <w:pPr>
        <w:widowControl w:val="0"/>
        <w:tabs>
          <w:tab w:val="left" w:pos="993"/>
        </w:tabs>
        <w:ind w:left="993" w:hanging="426"/>
        <w:rPr>
          <w:szCs w:val="24"/>
        </w:rPr>
      </w:pPr>
      <w:r>
        <w:t xml:space="preserve">(i) </w:t>
      </w:r>
      <w:r>
        <w:tab/>
        <w:t>ma obowiązek niezwłocznie powiadomić Komisję o:</w:t>
      </w:r>
    </w:p>
    <w:p w14:paraId="1F64719B" w14:textId="77777777" w:rsidR="00AC5DD4" w:rsidRPr="00345713" w:rsidRDefault="00EA3847" w:rsidP="00D43191">
      <w:pPr>
        <w:widowControl w:val="0"/>
        <w:tabs>
          <w:tab w:val="left" w:pos="993"/>
        </w:tabs>
        <w:ind w:left="993" w:hanging="426"/>
        <w:rPr>
          <w:szCs w:val="24"/>
        </w:rPr>
      </w:pPr>
      <w:r>
        <w:lastRenderedPageBreak/>
        <w:tab/>
        <w:t>- wszelkich zmianach nazwy, adresu, przedstawiciela prawnego lub któregokolwiek</w:t>
      </w:r>
      <w:r w:rsidR="00C24B90">
        <w:t xml:space="preserve"> z ben</w:t>
      </w:r>
      <w:r>
        <w:t>eficjentów lub podmiotów</w:t>
      </w:r>
      <w:r w:rsidR="00C24B90">
        <w:t xml:space="preserve"> z nim</w:t>
      </w:r>
      <w:r>
        <w:t xml:space="preserve"> powiązanych;</w:t>
      </w:r>
    </w:p>
    <w:p w14:paraId="6B671229" w14:textId="77777777" w:rsidR="00AC5DD4" w:rsidRPr="00345713" w:rsidRDefault="00EA3847" w:rsidP="00D43191">
      <w:pPr>
        <w:widowControl w:val="0"/>
        <w:tabs>
          <w:tab w:val="left" w:pos="993"/>
        </w:tabs>
        <w:ind w:left="993" w:hanging="426"/>
        <w:rPr>
          <w:szCs w:val="24"/>
        </w:rPr>
      </w:pPr>
      <w:r>
        <w:tab/>
        <w:t>- wszelkich zmianach sytuacji któregokolwiek</w:t>
      </w:r>
      <w:r w:rsidR="00C24B90">
        <w:t xml:space="preserve"> z ben</w:t>
      </w:r>
      <w:r>
        <w:t>eficjentów lub podmiotów</w:t>
      </w:r>
      <w:r w:rsidR="00C24B90">
        <w:t xml:space="preserve"> z nim</w:t>
      </w:r>
      <w:r>
        <w:t xml:space="preserve"> powiązanych pod względem prawnym, finansowym, technicznym, organizacyjnym lub dotyczącym własności;</w:t>
      </w:r>
    </w:p>
    <w:p w14:paraId="6C309A57" w14:textId="77777777" w:rsidR="00860C46" w:rsidRDefault="00EA3847" w:rsidP="00D43191">
      <w:pPr>
        <w:widowControl w:val="0"/>
        <w:tabs>
          <w:tab w:val="left" w:pos="993"/>
        </w:tabs>
        <w:ind w:left="993" w:hanging="426"/>
        <w:rPr>
          <w:szCs w:val="24"/>
        </w:rPr>
      </w:pPr>
      <w:r>
        <w:tab/>
        <w:t>- wszelkich wiadomych mu wydarzeniach lub okolicznościach, które mogą wpływać na realizację działania lub je opóźnić;</w:t>
      </w:r>
    </w:p>
    <w:p w14:paraId="1F9DE7BB" w14:textId="77777777" w:rsidR="00664F6A" w:rsidRPr="00345713" w:rsidRDefault="00664F6A" w:rsidP="00D43191">
      <w:pPr>
        <w:widowControl w:val="0"/>
        <w:tabs>
          <w:tab w:val="left" w:pos="993"/>
        </w:tabs>
        <w:ind w:left="993" w:hanging="426"/>
        <w:rPr>
          <w:szCs w:val="24"/>
        </w:rPr>
      </w:pPr>
      <w:r>
        <w:tab/>
        <w:t>- wszelkich zmianach dotyczących sytuacji wykluczenia wymienionych</w:t>
      </w:r>
      <w:r w:rsidR="00C24B90">
        <w:t xml:space="preserve"> w </w:t>
      </w:r>
      <w:r w:rsidR="00C24B90" w:rsidRPr="00C24B90">
        <w:t>art</w:t>
      </w:r>
      <w:r w:rsidRPr="00C24B90">
        <w:t>.</w:t>
      </w:r>
      <w:r w:rsidR="00C24B90" w:rsidRPr="00C24B90">
        <w:t> </w:t>
      </w:r>
      <w:r w:rsidRPr="00C24B90">
        <w:t>1</w:t>
      </w:r>
      <w:r>
        <w:t>36 rozporządzenia (UE) 2018/1046,</w:t>
      </w:r>
      <w:r w:rsidR="00C24B90">
        <w:t xml:space="preserve"> w odn</w:t>
      </w:r>
      <w:r>
        <w:t>iesieniu do któregokolwiek</w:t>
      </w:r>
      <w:r w:rsidR="00C24B90">
        <w:t xml:space="preserve"> z ben</w:t>
      </w:r>
      <w:r>
        <w:t>eficjentów lub podmiotów</w:t>
      </w:r>
      <w:r w:rsidR="00C24B90">
        <w:t xml:space="preserve"> z nim</w:t>
      </w:r>
      <w:r>
        <w:t xml:space="preserve"> powiązanych;</w:t>
      </w:r>
    </w:p>
    <w:p w14:paraId="07CFA89C" w14:textId="77777777" w:rsidR="00860C46" w:rsidRPr="00345713" w:rsidRDefault="00C74257" w:rsidP="00D43191">
      <w:pPr>
        <w:tabs>
          <w:tab w:val="left" w:pos="993"/>
        </w:tabs>
        <w:ind w:left="993" w:hanging="426"/>
        <w:rPr>
          <w:szCs w:val="24"/>
        </w:rPr>
      </w:pPr>
      <w:r>
        <w:t>(ii)</w:t>
      </w:r>
      <w:r>
        <w:tab/>
        <w:t>ponosi odpowiedzialność za dostarczanie Komisji wszystkich dokumentów</w:t>
      </w:r>
      <w:r w:rsidR="00C24B90">
        <w:t xml:space="preserve"> i inf</w:t>
      </w:r>
      <w:r>
        <w:t>ormacji wymaganych na podstawie Umowy,</w:t>
      </w:r>
      <w:r w:rsidR="00C24B90">
        <w:t xml:space="preserve"> o ile</w:t>
      </w:r>
      <w:r>
        <w:t xml:space="preserve"> Umowa nie stanowi inaczej. Jeżeli wymagane są dane od pozostałych beneficjentów, koordynator odpowiada za ich uzyskanie</w:t>
      </w:r>
      <w:r w:rsidR="00C24B90">
        <w:t xml:space="preserve"> i wer</w:t>
      </w:r>
      <w:r>
        <w:t>yfikację przed przekazaniem ich Komisji;</w:t>
      </w:r>
    </w:p>
    <w:p w14:paraId="44841A93" w14:textId="77777777" w:rsidR="00867539" w:rsidRPr="00345713" w:rsidRDefault="00304B08" w:rsidP="00D43191">
      <w:pPr>
        <w:tabs>
          <w:tab w:val="num" w:pos="0"/>
          <w:tab w:val="left" w:pos="567"/>
        </w:tabs>
        <w:ind w:left="567" w:hanging="567"/>
        <w:rPr>
          <w:szCs w:val="24"/>
        </w:rPr>
      </w:pPr>
      <w:r>
        <w:t>c)</w:t>
      </w:r>
      <w:r>
        <w:tab/>
        <w:t>musi dokonać odpowiednich ustaleń</w:t>
      </w:r>
      <w:r w:rsidR="00C24B90">
        <w:t xml:space="preserve"> w cel</w:t>
      </w:r>
      <w:r>
        <w:t>u zapewnienia wszelkich gwarancji finansowych wymaganych na mocy Umowy;</w:t>
      </w:r>
    </w:p>
    <w:p w14:paraId="1AFC5232" w14:textId="77777777" w:rsidR="00860C46" w:rsidRPr="00345713" w:rsidRDefault="00304B08" w:rsidP="00D43191">
      <w:pPr>
        <w:tabs>
          <w:tab w:val="left" w:pos="284"/>
          <w:tab w:val="num" w:pos="567"/>
        </w:tabs>
        <w:ind w:left="567" w:hanging="567"/>
        <w:rPr>
          <w:szCs w:val="24"/>
        </w:rPr>
      </w:pPr>
      <w:r>
        <w:t>d)</w:t>
      </w:r>
      <w:r>
        <w:tab/>
      </w:r>
      <w:r>
        <w:tab/>
        <w:t>musi opracować wnioski</w:t>
      </w:r>
      <w:r w:rsidR="00C24B90">
        <w:t xml:space="preserve"> o pła</w:t>
      </w:r>
      <w:r>
        <w:t>tność zgodnie</w:t>
      </w:r>
      <w:r w:rsidR="00C24B90">
        <w:t xml:space="preserve"> z Umo</w:t>
      </w:r>
      <w:r>
        <w:t>wą;</w:t>
      </w:r>
    </w:p>
    <w:p w14:paraId="5CEA0501" w14:textId="77777777" w:rsidR="00860C46" w:rsidRPr="00345713" w:rsidRDefault="00304B08" w:rsidP="00D43191">
      <w:pPr>
        <w:tabs>
          <w:tab w:val="num" w:pos="567"/>
        </w:tabs>
        <w:ind w:left="567" w:hanging="567"/>
        <w:rPr>
          <w:szCs w:val="24"/>
        </w:rPr>
      </w:pPr>
      <w:r>
        <w:t>e)</w:t>
      </w:r>
      <w:r>
        <w:tab/>
        <w:t>w przypadku gdy jest wyznaczony jako jedyny odbiorca płatności</w:t>
      </w:r>
      <w:r w:rsidR="00C24B90">
        <w:t xml:space="preserve"> w imi</w:t>
      </w:r>
      <w:r>
        <w:t>eniu beneficjentów – musi zapewnić przekazywanie wszystkich odpowiednich płatności pozostałym beneficjentom bez zbędnej zwłoki;</w:t>
      </w:r>
    </w:p>
    <w:p w14:paraId="18CEE416" w14:textId="77777777" w:rsidR="00B81E66" w:rsidRPr="00345713" w:rsidRDefault="00304B08" w:rsidP="00D43191">
      <w:pPr>
        <w:tabs>
          <w:tab w:val="left" w:pos="567"/>
        </w:tabs>
        <w:ind w:left="567" w:hanging="567"/>
        <w:rPr>
          <w:i/>
          <w:szCs w:val="24"/>
        </w:rPr>
      </w:pPr>
      <w:r>
        <w:t>f)</w:t>
      </w:r>
      <w:r>
        <w:tab/>
        <w:t>jest odpowiedzialny za dostarczanie wszystkich niezbędnych dokumentów wymaganych na potrzeby kontroli</w:t>
      </w:r>
      <w:r w:rsidR="00C24B90">
        <w:t xml:space="preserve"> i aud</w:t>
      </w:r>
      <w:r>
        <w:t>ytów rozpoczętych przed dokonaniem płatności salda lub dokumentów wymaganych na potrzeby oceny, jak określono</w:t>
      </w:r>
      <w:r w:rsidR="00C24B90">
        <w:t xml:space="preserve"> w art</w:t>
      </w:r>
      <w:r>
        <w:t>. II.27.</w:t>
      </w:r>
    </w:p>
    <w:p w14:paraId="5410E8F9" w14:textId="77777777" w:rsidR="00EC47B3" w:rsidRPr="00345713" w:rsidRDefault="00B81E66" w:rsidP="00D43191">
      <w:r>
        <w:t>Koordynator nie może zlecić podwykonawstwa żadnej części swoich zadań pozostałym beneficjentom ani żadnym innym stronom.</w:t>
      </w:r>
    </w:p>
    <w:p w14:paraId="27C66F27" w14:textId="77777777" w:rsidR="00270BFE" w:rsidRPr="00345713" w:rsidRDefault="000A4F91" w:rsidP="00D43191">
      <w:pPr>
        <w:pStyle w:val="Nagwek2"/>
      </w:pPr>
      <w:bookmarkStart w:id="28" w:name="_Toc441250822"/>
      <w:bookmarkStart w:id="29" w:name="_Toc530496918"/>
      <w:bookmarkStart w:id="30" w:name="_Toc30764019"/>
      <w:r>
        <w:t>Artykuł II.3 – Komunikacja między stronami</w:t>
      </w:r>
      <w:bookmarkEnd w:id="28"/>
      <w:bookmarkEnd w:id="29"/>
      <w:bookmarkEnd w:id="30"/>
    </w:p>
    <w:p w14:paraId="02A2E4B8" w14:textId="77777777" w:rsidR="00A7459B" w:rsidRPr="00345713" w:rsidRDefault="00270BFE" w:rsidP="00D43191">
      <w:pPr>
        <w:pStyle w:val="Nagwek3"/>
      </w:pPr>
      <w:bookmarkStart w:id="31" w:name="_Toc441250823"/>
      <w:bookmarkStart w:id="32" w:name="_Toc530496919"/>
      <w:bookmarkStart w:id="33" w:name="_Toc30764020"/>
      <w:r>
        <w:t>II.3.1</w:t>
      </w:r>
      <w:r>
        <w:tab/>
        <w:t>Forma</w:t>
      </w:r>
      <w:r w:rsidR="00C24B90">
        <w:t xml:space="preserve"> i śro</w:t>
      </w:r>
      <w:r>
        <w:t>dki komunikacji</w:t>
      </w:r>
      <w:bookmarkEnd w:id="31"/>
      <w:bookmarkEnd w:id="32"/>
      <w:bookmarkEnd w:id="33"/>
    </w:p>
    <w:p w14:paraId="3E2D0723" w14:textId="77777777" w:rsidR="004A7EB0" w:rsidRPr="00345713" w:rsidRDefault="00270BFE" w:rsidP="00D43191">
      <w:r>
        <w:t>Wszelka komunikacja dotycząca Umowy lub jej realizacji musi:</w:t>
      </w:r>
    </w:p>
    <w:p w14:paraId="6077AE92" w14:textId="77777777" w:rsidR="004A7EB0" w:rsidRPr="00345713" w:rsidRDefault="00270BFE" w:rsidP="00F81053">
      <w:pPr>
        <w:numPr>
          <w:ilvl w:val="0"/>
          <w:numId w:val="15"/>
        </w:numPr>
      </w:pPr>
      <w:r>
        <w:t>odbywać się</w:t>
      </w:r>
      <w:r w:rsidR="00C24B90">
        <w:t xml:space="preserve"> w for</w:t>
      </w:r>
      <w:r>
        <w:t>mie pisemnej (na papierze lub</w:t>
      </w:r>
      <w:r w:rsidR="00C24B90">
        <w:t xml:space="preserve"> w for</w:t>
      </w:r>
      <w:r>
        <w:t>mie elektronicznej);</w:t>
      </w:r>
    </w:p>
    <w:p w14:paraId="6A70F43F" w14:textId="77777777" w:rsidR="004A7EB0" w:rsidRPr="00345713" w:rsidRDefault="00270BFE" w:rsidP="00F81053">
      <w:pPr>
        <w:numPr>
          <w:ilvl w:val="0"/>
          <w:numId w:val="15"/>
        </w:numPr>
      </w:pPr>
      <w:r>
        <w:t>być opatrzona numerem Umowy; oraz</w:t>
      </w:r>
    </w:p>
    <w:p w14:paraId="0A571398" w14:textId="77777777" w:rsidR="003E632F" w:rsidRPr="00345713" w:rsidRDefault="00A45C24" w:rsidP="00F81053">
      <w:pPr>
        <w:numPr>
          <w:ilvl w:val="0"/>
          <w:numId w:val="15"/>
        </w:numPr>
      </w:pPr>
      <w:r>
        <w:t>odbywać się</w:t>
      </w:r>
      <w:r w:rsidR="00C24B90">
        <w:t xml:space="preserve"> z wyk</w:t>
      </w:r>
      <w:r>
        <w:t>orzystaniem szczegółowych danych kontaktowych określonych</w:t>
      </w:r>
      <w:r w:rsidR="00C24B90">
        <w:t xml:space="preserve"> w art</w:t>
      </w:r>
      <w:r>
        <w:t>. I.</w:t>
      </w:r>
      <w:r w:rsidR="00496B83">
        <w:t>6</w:t>
      </w:r>
      <w:r>
        <w:t>.</w:t>
      </w:r>
    </w:p>
    <w:p w14:paraId="4997679D" w14:textId="77777777" w:rsidR="00C53EFB" w:rsidRPr="00345713" w:rsidRDefault="00C53EFB" w:rsidP="00D43191">
      <w:r>
        <w:t>Jeżeli jedna ze stron zwraca się</w:t>
      </w:r>
      <w:r w:rsidR="00C24B90">
        <w:t xml:space="preserve"> o pis</w:t>
      </w:r>
      <w:r>
        <w:t>emne potwierdzenie</w:t>
      </w:r>
      <w:r w:rsidR="00C24B90">
        <w:t xml:space="preserve"> w roz</w:t>
      </w:r>
      <w:r>
        <w:t>sądnym czasie korespondencji elektronicznej, nadawca musi jak najszybciej dostarczyć jej oryginalną podpisaną papierową wersję wiadomości.</w:t>
      </w:r>
    </w:p>
    <w:p w14:paraId="506ED11E" w14:textId="77777777" w:rsidR="00A7459B" w:rsidRPr="00345713" w:rsidRDefault="004C44DD" w:rsidP="00D43191">
      <w:pPr>
        <w:pStyle w:val="Nagwek3"/>
      </w:pPr>
      <w:bookmarkStart w:id="34" w:name="_Toc441250824"/>
      <w:bookmarkStart w:id="35" w:name="_Toc530496920"/>
      <w:bookmarkStart w:id="36" w:name="_Toc30764021"/>
      <w:r>
        <w:t>II.3.2</w:t>
      </w:r>
      <w:r>
        <w:tab/>
        <w:t>Data przekazania informacji</w:t>
      </w:r>
      <w:bookmarkEnd w:id="34"/>
      <w:bookmarkEnd w:id="35"/>
      <w:bookmarkEnd w:id="36"/>
    </w:p>
    <w:p w14:paraId="465958FE" w14:textId="77777777" w:rsidR="00097EA8" w:rsidRPr="00345713" w:rsidRDefault="00097EA8" w:rsidP="00D43191">
      <w:r>
        <w:lastRenderedPageBreak/>
        <w:t>Informacje uważa się za przekazane</w:t>
      </w:r>
      <w:r w:rsidR="00C24B90">
        <w:t xml:space="preserve"> z chw</w:t>
      </w:r>
      <w:r>
        <w:t>ilą ich otrzymania przez stronę będącą odbiorcą, chyba że</w:t>
      </w:r>
      <w:r w:rsidR="00C24B90">
        <w:t xml:space="preserve"> w Umo</w:t>
      </w:r>
      <w:r>
        <w:t>wie za datę przekazania uznaje się datę wysłania informacji.</w:t>
      </w:r>
    </w:p>
    <w:p w14:paraId="6CB7F418" w14:textId="77777777" w:rsidR="00966EFB" w:rsidRPr="00345713" w:rsidRDefault="00966EFB" w:rsidP="00D43191">
      <w:r>
        <w:t>Wiadomość e-mail uważa się za otrzymaną przez stronę będącą odbiorcą</w:t>
      </w:r>
      <w:r w:rsidR="00C24B90">
        <w:t xml:space="preserve"> w dni</w:t>
      </w:r>
      <w:r>
        <w:t>u jej wysłania, pod warunkiem że jest ona kierowana na adres e-mail wskazany</w:t>
      </w:r>
      <w:r w:rsidR="00C24B90">
        <w:t xml:space="preserve"> w art</w:t>
      </w:r>
      <w:r>
        <w:t>. I.</w:t>
      </w:r>
      <w:r w:rsidR="00496B83">
        <w:t>6</w:t>
      </w:r>
      <w:r>
        <w:t>. Strona wysyłająca musi być</w:t>
      </w:r>
      <w:r w:rsidR="00C24B90">
        <w:t xml:space="preserve"> w sta</w:t>
      </w:r>
      <w:r>
        <w:t>nie udokumentować datę wysłania</w:t>
      </w:r>
      <w:r w:rsidR="00C24B90">
        <w:t>. W prz</w:t>
      </w:r>
      <w:r>
        <w:t>ypadku gdy strona wysyłająca otrzyma komunikat</w:t>
      </w:r>
      <w:r w:rsidR="00C24B90">
        <w:t xml:space="preserve"> o nie</w:t>
      </w:r>
      <w:r>
        <w:t>dostarczeniu korespondencji, musi podjąć wszelkie wysiłki</w:t>
      </w:r>
      <w:r w:rsidR="00C24B90">
        <w:t xml:space="preserve"> w cel</w:t>
      </w:r>
      <w:r>
        <w:t>u zapewnienia, aby druga strona faktycznie otrzymała informacje drogą elektroniczną lub pocztową</w:t>
      </w:r>
      <w:r w:rsidR="00C24B90">
        <w:t>. W tak</w:t>
      </w:r>
      <w:r>
        <w:t>im przypadku uznaje się, że strona wysyłająca nie narusza swojego obowiązku wysłania takich informacji</w:t>
      </w:r>
      <w:r w:rsidR="00C24B90">
        <w:t xml:space="preserve"> w okr</w:t>
      </w:r>
      <w:r>
        <w:t>eślonym terminie.</w:t>
      </w:r>
    </w:p>
    <w:p w14:paraId="681C252B" w14:textId="77777777" w:rsidR="00097EA8" w:rsidRPr="00345713" w:rsidRDefault="00097EA8" w:rsidP="00D43191">
      <w:r>
        <w:t>Korespondencję przesyłaną Komisji za pośrednictwem usług pocztowych lub kurierskich uważa się za otrzymaną przez Komisję</w:t>
      </w:r>
      <w:r w:rsidR="00C24B90">
        <w:t xml:space="preserve"> w dni</w:t>
      </w:r>
      <w:r>
        <w:t>u jej rejestracji</w:t>
      </w:r>
      <w:r w:rsidR="00C24B90">
        <w:t xml:space="preserve"> w dzi</w:t>
      </w:r>
      <w:r>
        <w:t>ale określonym</w:t>
      </w:r>
      <w:r w:rsidR="00C24B90">
        <w:t xml:space="preserve"> w art</w:t>
      </w:r>
      <w:r>
        <w:t>. I.</w:t>
      </w:r>
      <w:r w:rsidR="00496B83">
        <w:t>6</w:t>
      </w:r>
      <w:r>
        <w:t>.</w:t>
      </w:r>
    </w:p>
    <w:p w14:paraId="1ACAC48E" w14:textId="77777777" w:rsidR="00C53175" w:rsidRPr="00345713" w:rsidRDefault="00CF04BD" w:rsidP="00D43191">
      <w:r>
        <w:t>Formalne zawiadomienia uważa się za otrzymane przez stronę będącą odbiorcą</w:t>
      </w:r>
      <w:r w:rsidR="00C24B90">
        <w:t xml:space="preserve"> w dni</w:t>
      </w:r>
      <w:r>
        <w:t>u otrzymania wskazanym</w:t>
      </w:r>
      <w:r w:rsidR="00C24B90">
        <w:t xml:space="preserve"> w otr</w:t>
      </w:r>
      <w:r>
        <w:t>zymanym przez stronę wysyłającą potwierdzeniu, że wiadomość została dostarczona do wskazanego adresata.</w:t>
      </w:r>
    </w:p>
    <w:p w14:paraId="6FE33E92" w14:textId="77777777" w:rsidR="00AB1AA3" w:rsidRPr="00345713" w:rsidRDefault="000A4F91" w:rsidP="00D43191">
      <w:pPr>
        <w:pStyle w:val="Nagwek2"/>
      </w:pPr>
      <w:bookmarkStart w:id="37" w:name="_Toc97092415"/>
      <w:bookmarkStart w:id="38" w:name="_Toc441250827"/>
      <w:bookmarkStart w:id="39" w:name="_Toc530496921"/>
      <w:bookmarkStart w:id="40" w:name="_Toc30764022"/>
      <w:r>
        <w:t>Artykuł II.4 – Odpowiedzialność za szkody</w:t>
      </w:r>
      <w:bookmarkEnd w:id="37"/>
      <w:bookmarkEnd w:id="38"/>
      <w:bookmarkEnd w:id="39"/>
      <w:bookmarkEnd w:id="40"/>
    </w:p>
    <w:p w14:paraId="7BE44FB6" w14:textId="77777777" w:rsidR="00AB1AA3" w:rsidRPr="00345713" w:rsidRDefault="00AB1AA3" w:rsidP="00D43191">
      <w:pPr>
        <w:adjustRightInd w:val="0"/>
        <w:ind w:left="709" w:hanging="709"/>
        <w:rPr>
          <w:szCs w:val="24"/>
        </w:rPr>
      </w:pPr>
      <w:r>
        <w:rPr>
          <w:b/>
        </w:rPr>
        <w:t>II.4.1</w:t>
      </w:r>
      <w:r>
        <w:tab/>
        <w:t>Komisja nie ponosi odpowiedzialności za żadne szkody wyrządzone lub poniesione przez któregokolwiek</w:t>
      </w:r>
      <w:r w:rsidR="00C24B90">
        <w:t xml:space="preserve"> z ben</w:t>
      </w:r>
      <w:r>
        <w:t>eficjentów,</w:t>
      </w:r>
      <w:r w:rsidR="00C24B90">
        <w:t xml:space="preserve"> w tym</w:t>
      </w:r>
      <w:r>
        <w:t xml:space="preserve"> żadne szkody wyrządzone osobom trzecim</w:t>
      </w:r>
      <w:r w:rsidR="00C24B90">
        <w:t xml:space="preserve"> w wyn</w:t>
      </w:r>
      <w:r>
        <w:t>iku działania lub</w:t>
      </w:r>
      <w:r w:rsidR="00C24B90">
        <w:t xml:space="preserve"> w tra</w:t>
      </w:r>
      <w:r>
        <w:t>kcie jego realizacji.</w:t>
      </w:r>
    </w:p>
    <w:p w14:paraId="00D2EFE2" w14:textId="77777777" w:rsidR="00AB1AA3" w:rsidRPr="00345713" w:rsidRDefault="00AB1AA3" w:rsidP="00D43191">
      <w:pPr>
        <w:adjustRightInd w:val="0"/>
        <w:ind w:left="709" w:hanging="709"/>
        <w:rPr>
          <w:szCs w:val="24"/>
        </w:rPr>
      </w:pPr>
      <w:r>
        <w:rPr>
          <w:b/>
        </w:rPr>
        <w:t>II.4.2</w:t>
      </w:r>
      <w:r>
        <w:tab/>
        <w:t>Z wyjątkiem przypadków działania siły wyższej beneficjenci muszą zrekompensować Komisji wszelkie szkody poniesione przez nią</w:t>
      </w:r>
      <w:r w:rsidR="00C24B90">
        <w:t xml:space="preserve"> w wyn</w:t>
      </w:r>
      <w:r>
        <w:t>iku realizacji działania lub</w:t>
      </w:r>
      <w:r w:rsidR="00C24B90">
        <w:t xml:space="preserve"> w zwi</w:t>
      </w:r>
      <w:r>
        <w:t>ązku</w:t>
      </w:r>
      <w:r w:rsidR="00C24B90">
        <w:t xml:space="preserve"> z tym</w:t>
      </w:r>
      <w:r>
        <w:t>, że działanie nie było realizowane</w:t>
      </w:r>
      <w:r w:rsidR="00C24B90">
        <w:t xml:space="preserve"> w peł</w:t>
      </w:r>
      <w:r>
        <w:t>nej zgodności</w:t>
      </w:r>
      <w:r w:rsidR="00C24B90">
        <w:t xml:space="preserve"> z Umo</w:t>
      </w:r>
      <w:r>
        <w:t>wą.</w:t>
      </w:r>
    </w:p>
    <w:p w14:paraId="374960D5" w14:textId="77777777" w:rsidR="00D01432" w:rsidRPr="00345713" w:rsidRDefault="000A4F91" w:rsidP="00D43191">
      <w:pPr>
        <w:pStyle w:val="Nagwek2"/>
      </w:pPr>
      <w:bookmarkStart w:id="41" w:name="_Toc441250828"/>
      <w:bookmarkStart w:id="42" w:name="_Toc530496922"/>
      <w:bookmarkStart w:id="43" w:name="_Toc30764023"/>
      <w:r>
        <w:t>Artykuł II.5 – Konflikt interesów</w:t>
      </w:r>
      <w:bookmarkEnd w:id="41"/>
      <w:bookmarkEnd w:id="42"/>
      <w:bookmarkEnd w:id="43"/>
    </w:p>
    <w:p w14:paraId="151499E8" w14:textId="77777777" w:rsidR="00D01432" w:rsidRPr="00345713" w:rsidRDefault="00D01432" w:rsidP="00D43191">
      <w:pPr>
        <w:ind w:left="720" w:hanging="720"/>
        <w:rPr>
          <w:szCs w:val="24"/>
        </w:rPr>
      </w:pPr>
      <w:r>
        <w:rPr>
          <w:b/>
        </w:rPr>
        <w:t>II.5.1</w:t>
      </w:r>
      <w:r>
        <w:tab/>
        <w:t>Beneficjenci muszą wprowadzić wszelkie niezbędne środki, aby zapobiec wystąpieniu konfliktu interesów.</w:t>
      </w:r>
    </w:p>
    <w:p w14:paraId="52612602" w14:textId="77777777" w:rsidR="0095688F" w:rsidRPr="00345713" w:rsidRDefault="00D01432" w:rsidP="00D43191">
      <w:pPr>
        <w:ind w:left="720" w:hanging="720"/>
        <w:rPr>
          <w:szCs w:val="24"/>
        </w:rPr>
      </w:pPr>
      <w:r>
        <w:rPr>
          <w:b/>
        </w:rPr>
        <w:t>II.5.2</w:t>
      </w:r>
      <w:r>
        <w:tab/>
        <w:t>Beneficjent musi niezwłocznie poinformować Komisję</w:t>
      </w:r>
      <w:r w:rsidR="00C24B90">
        <w:t xml:space="preserve"> o każ</w:t>
      </w:r>
      <w:r>
        <w:t>dej sytuacji stanowiącej konflikt interesów lub mogącej prowadzić do jego powstania. Beneficjenci muszą niezwłocznie wprowadzić wszelkie środki niezbędne do naprawy tej sytuacji.</w:t>
      </w:r>
    </w:p>
    <w:p w14:paraId="73FBF490" w14:textId="77777777" w:rsidR="0095688F" w:rsidRPr="00345713" w:rsidRDefault="0095688F" w:rsidP="00D43191">
      <w:pPr>
        <w:ind w:left="720"/>
        <w:rPr>
          <w:szCs w:val="24"/>
        </w:rPr>
      </w:pPr>
      <w:r>
        <w:t>Komisja ma prawo do weryfikacji adekwatności zastosowanych środków</w:t>
      </w:r>
      <w:r w:rsidR="00C24B90">
        <w:t xml:space="preserve"> i moż</w:t>
      </w:r>
      <w:r>
        <w:t>e wezwać do zastosowania dodatkowych środków</w:t>
      </w:r>
      <w:r w:rsidR="00C24B90">
        <w:t xml:space="preserve"> w okr</w:t>
      </w:r>
      <w:r>
        <w:t>eślonym terminie.</w:t>
      </w:r>
    </w:p>
    <w:p w14:paraId="23E2305A" w14:textId="77777777" w:rsidR="00EA4069" w:rsidRPr="00345713" w:rsidRDefault="000A4F91" w:rsidP="00D43191">
      <w:pPr>
        <w:pStyle w:val="Nagwek2"/>
      </w:pPr>
      <w:bookmarkStart w:id="44" w:name="_Toc441250829"/>
      <w:bookmarkStart w:id="45" w:name="_Toc530496923"/>
      <w:bookmarkStart w:id="46" w:name="_Toc30764024"/>
      <w:r>
        <w:t>Artykuł II.6 – Poufność</w:t>
      </w:r>
      <w:bookmarkEnd w:id="44"/>
      <w:bookmarkEnd w:id="45"/>
      <w:bookmarkEnd w:id="46"/>
    </w:p>
    <w:p w14:paraId="37659FDF" w14:textId="77777777" w:rsidR="00B82CED" w:rsidRPr="00345713" w:rsidRDefault="00EA4069" w:rsidP="00D43191">
      <w:pPr>
        <w:ind w:left="720" w:hanging="720"/>
        <w:rPr>
          <w:szCs w:val="24"/>
        </w:rPr>
      </w:pPr>
      <w:r>
        <w:rPr>
          <w:b/>
        </w:rPr>
        <w:t>II.6.1</w:t>
      </w:r>
      <w:r>
        <w:tab/>
        <w:t>Podczas realizacji działania</w:t>
      </w:r>
      <w:r w:rsidR="00C24B90">
        <w:t xml:space="preserve"> i prz</w:t>
      </w:r>
      <w:r>
        <w:t>ez pięć lat po dokonaniu płatności salda strony muszą traktować jako poufne wszelkie poufne informacje</w:t>
      </w:r>
      <w:r w:rsidR="00C24B90">
        <w:t xml:space="preserve"> i dok</w:t>
      </w:r>
      <w:r>
        <w:t>umenty.</w:t>
      </w:r>
    </w:p>
    <w:p w14:paraId="50B30A2C" w14:textId="77777777" w:rsidR="00EA4069" w:rsidRPr="00345713" w:rsidRDefault="00EA4069" w:rsidP="00D43191">
      <w:pPr>
        <w:ind w:left="720" w:hanging="720"/>
        <w:rPr>
          <w:szCs w:val="24"/>
        </w:rPr>
      </w:pPr>
      <w:r>
        <w:rPr>
          <w:b/>
        </w:rPr>
        <w:t>II.6.2</w:t>
      </w:r>
      <w:r>
        <w:tab/>
        <w:t>Strony mogą wykorzystywać poufne informacje lub dokumenty do celów innych niż wypełnianie swoich zobowiązań wynikających</w:t>
      </w:r>
      <w:r w:rsidR="00C24B90">
        <w:t xml:space="preserve"> z Umo</w:t>
      </w:r>
      <w:r>
        <w:t>wy, jedynie jeżeli otrzymały wcześniej pisemną zgodę drugiej strony.</w:t>
      </w:r>
    </w:p>
    <w:p w14:paraId="7F9A23DB" w14:textId="77777777" w:rsidR="00B82CED" w:rsidRPr="00345713" w:rsidRDefault="00EA4069" w:rsidP="00D43191">
      <w:pPr>
        <w:rPr>
          <w:szCs w:val="24"/>
        </w:rPr>
      </w:pPr>
      <w:r>
        <w:rPr>
          <w:b/>
        </w:rPr>
        <w:t>II.6.3</w:t>
      </w:r>
      <w:r>
        <w:tab/>
        <w:t>Obowiązki dotyczące zachowania poufności nie mają zastosowania, jeżeli:</w:t>
      </w:r>
    </w:p>
    <w:p w14:paraId="575E7BA6" w14:textId="77777777" w:rsidR="00EA4069" w:rsidRPr="00345713" w:rsidRDefault="00B82CED" w:rsidP="00F81053">
      <w:pPr>
        <w:numPr>
          <w:ilvl w:val="0"/>
          <w:numId w:val="16"/>
        </w:numPr>
      </w:pPr>
      <w:r>
        <w:lastRenderedPageBreak/>
        <w:t>strona ujawniająca wyraża zgodę na zwolnienie drugiej strony</w:t>
      </w:r>
      <w:r w:rsidR="00C24B90">
        <w:t xml:space="preserve"> z tyc</w:t>
      </w:r>
      <w:r>
        <w:t>h obowiązków;</w:t>
      </w:r>
    </w:p>
    <w:p w14:paraId="5EBA6924" w14:textId="77777777" w:rsidR="00EA4069" w:rsidRPr="00345713" w:rsidRDefault="0032607A" w:rsidP="00F81053">
      <w:pPr>
        <w:numPr>
          <w:ilvl w:val="0"/>
          <w:numId w:val="16"/>
        </w:numPr>
      </w:pPr>
      <w:r w:rsidRPr="007742CA">
        <w:rPr>
          <w:i/>
          <w:iCs/>
        </w:rPr>
        <w:t>poufne informacje lub dokumenty</w:t>
      </w:r>
      <w:r>
        <w:t xml:space="preserve"> zostały upublicznione</w:t>
      </w:r>
      <w:r w:rsidR="00C24B90">
        <w:t xml:space="preserve"> w inn</w:t>
      </w:r>
      <w:r>
        <w:t>y sposób niż poprzez naruszenie obowiązku zachowania poufności;</w:t>
      </w:r>
    </w:p>
    <w:p w14:paraId="3060821D" w14:textId="77777777" w:rsidR="00EA4069" w:rsidRPr="00345713" w:rsidRDefault="00EA4069" w:rsidP="00F81053">
      <w:pPr>
        <w:numPr>
          <w:ilvl w:val="0"/>
          <w:numId w:val="16"/>
        </w:numPr>
      </w:pPr>
      <w:r>
        <w:t xml:space="preserve">ujawnienie </w:t>
      </w:r>
      <w:r w:rsidRPr="007742CA">
        <w:rPr>
          <w:i/>
          <w:iCs/>
        </w:rPr>
        <w:t>poufnych informacji lub dokumentów</w:t>
      </w:r>
      <w:r>
        <w:t xml:space="preserve"> wymagane jest na mocy prawa.</w:t>
      </w:r>
    </w:p>
    <w:p w14:paraId="016C6BEE" w14:textId="77777777" w:rsidR="00D01432" w:rsidRPr="00345713" w:rsidRDefault="000A4F91" w:rsidP="00D43191">
      <w:pPr>
        <w:pStyle w:val="Nagwek2"/>
      </w:pPr>
      <w:bookmarkStart w:id="47" w:name="_Toc441250830"/>
      <w:bookmarkStart w:id="48" w:name="_Toc530496924"/>
      <w:bookmarkStart w:id="49" w:name="_Toc30764025"/>
      <w:r>
        <w:t>Artykuł II.7 – Przetwarzanie danych osobowych</w:t>
      </w:r>
      <w:bookmarkEnd w:id="47"/>
      <w:bookmarkEnd w:id="48"/>
      <w:bookmarkEnd w:id="49"/>
    </w:p>
    <w:p w14:paraId="37753153" w14:textId="77777777" w:rsidR="002B264E" w:rsidRPr="00345713" w:rsidRDefault="00D01432" w:rsidP="00D43191">
      <w:pPr>
        <w:pStyle w:val="Nagwek3"/>
      </w:pPr>
      <w:bookmarkStart w:id="50" w:name="_Toc441250831"/>
      <w:bookmarkStart w:id="51" w:name="_Toc530496925"/>
      <w:bookmarkStart w:id="52" w:name="_Toc30764026"/>
      <w:r>
        <w:t>II.7.1</w:t>
      </w:r>
      <w:r>
        <w:tab/>
        <w:t>Przetwarzanie danych osobowych przez Komisję</w:t>
      </w:r>
      <w:bookmarkEnd w:id="50"/>
      <w:bookmarkEnd w:id="51"/>
      <w:bookmarkEnd w:id="52"/>
    </w:p>
    <w:p w14:paraId="25F208E8" w14:textId="77777777" w:rsidR="007C40EF" w:rsidRPr="00345713" w:rsidRDefault="00D01432" w:rsidP="00D43191">
      <w:r>
        <w:t>Wszelkie dane osobowe objęte Umową muszą być przetwarzane przez Komisję zgodnie</w:t>
      </w:r>
      <w:r w:rsidR="00C24B90">
        <w:t xml:space="preserve"> z roz</w:t>
      </w:r>
      <w:r>
        <w:t>porządzeniem (UE) 2018/1725</w:t>
      </w:r>
      <w:r>
        <w:rPr>
          <w:rStyle w:val="Odwoanieprzypisudolnego"/>
        </w:rPr>
        <w:footnoteReference w:id="1"/>
      </w:r>
      <w:r>
        <w:t>.</w:t>
      </w:r>
    </w:p>
    <w:p w14:paraId="514C83B9" w14:textId="77777777" w:rsidR="007C40EF" w:rsidRPr="00345713" w:rsidRDefault="00D01432" w:rsidP="00D43191">
      <w:pPr>
        <w:rPr>
          <w:color w:val="000000"/>
        </w:rPr>
      </w:pPr>
      <w:r>
        <w:t>Administrator danych określony</w:t>
      </w:r>
      <w:r w:rsidR="00C24B90">
        <w:t xml:space="preserve"> w art</w:t>
      </w:r>
      <w:r>
        <w:t>. I.</w:t>
      </w:r>
      <w:r w:rsidR="00496B83">
        <w:t>6</w:t>
      </w:r>
      <w:r>
        <w:t xml:space="preserve"> jest zobowiązany do przetwarzania takich danych jedynie do celów realizacji</w:t>
      </w:r>
      <w:r w:rsidR="00C24B90">
        <w:t xml:space="preserve"> i mon</w:t>
      </w:r>
      <w:r>
        <w:t>itorowania Umowy oraz zarządzania nią lub</w:t>
      </w:r>
      <w:r w:rsidR="00C24B90">
        <w:t xml:space="preserve"> w cel</w:t>
      </w:r>
      <w:r>
        <w:t>u ochrony interesów finansowych UE,</w:t>
      </w:r>
      <w:r w:rsidR="00C24B90">
        <w:t xml:space="preserve"> w tym</w:t>
      </w:r>
      <w:r>
        <w:t xml:space="preserve"> do celów kontroli, audytów</w:t>
      </w:r>
      <w:r w:rsidR="00C24B90">
        <w:t xml:space="preserve"> i doc</w:t>
      </w:r>
      <w:r>
        <w:t>hodzeń zgodnie</w:t>
      </w:r>
      <w:r w:rsidR="00C24B90">
        <w:t xml:space="preserve"> z art</w:t>
      </w:r>
      <w:r>
        <w:t>. II.27.</w:t>
      </w:r>
    </w:p>
    <w:p w14:paraId="7F662912" w14:textId="77777777" w:rsidR="00D01432" w:rsidRPr="00345713" w:rsidRDefault="00D01432" w:rsidP="00D43191">
      <w:r>
        <w:t>Beneficjenci mają prawo do dostępu do swoich danych osobowych, do ich poprawienia lub usunięcia oraz prawo do ograniczenia przetwarzania lub</w:t>
      </w:r>
      <w:r w:rsidR="00C24B90">
        <w:t xml:space="preserve"> w sto</w:t>
      </w:r>
      <w:r>
        <w:t>sownych przypadkach prawo do przenoszenia danych lub prawo do sprzeciwu wobec przetwarzania ich danych osobowych zgodnie</w:t>
      </w:r>
      <w:r w:rsidR="00C24B90">
        <w:t xml:space="preserve"> z roz</w:t>
      </w:r>
      <w:r>
        <w:t>porządzeniem (UE) 2018/1725</w:t>
      </w:r>
      <w:r w:rsidR="00C24B90">
        <w:t>.</w:t>
      </w:r>
      <w:r w:rsidR="00C24B90">
        <w:rPr>
          <w:color w:val="000000"/>
        </w:rPr>
        <w:t xml:space="preserve"> W</w:t>
      </w:r>
      <w:r w:rsidR="00C24B90">
        <w:t> </w:t>
      </w:r>
      <w:r w:rsidR="00C24B90">
        <w:rPr>
          <w:color w:val="000000"/>
        </w:rPr>
        <w:t>tym</w:t>
      </w:r>
      <w:r>
        <w:rPr>
          <w:color w:val="000000"/>
        </w:rPr>
        <w:t xml:space="preserve"> celu beneficjenci są zobowiązani do przesyłania wszelkich pytań dotyczących przetwarzania swoich danych osobowych do administratora danych określonego</w:t>
      </w:r>
      <w:r w:rsidR="00C24B90">
        <w:rPr>
          <w:color w:val="000000"/>
        </w:rPr>
        <w:t xml:space="preserve"> w art</w:t>
      </w:r>
      <w:r>
        <w:rPr>
          <w:color w:val="000000"/>
        </w:rPr>
        <w:t>. I.</w:t>
      </w:r>
      <w:r w:rsidR="00496B83">
        <w:rPr>
          <w:color w:val="000000"/>
        </w:rPr>
        <w:t>6</w:t>
      </w:r>
      <w:r>
        <w:rPr>
          <w:color w:val="000000"/>
        </w:rPr>
        <w:t>.</w:t>
      </w:r>
    </w:p>
    <w:p w14:paraId="0D4281B7" w14:textId="77777777" w:rsidR="00D01432" w:rsidRPr="00345713" w:rsidRDefault="00D01432" w:rsidP="00D43191">
      <w:r>
        <w:t>Beneficjenci mogą</w:t>
      </w:r>
      <w:r w:rsidR="00C24B90">
        <w:t xml:space="preserve"> w każ</w:t>
      </w:r>
      <w:r>
        <w:t>dej chwili odwołać się do Europejskiego Inspektora Ochrony Danych.</w:t>
      </w:r>
    </w:p>
    <w:p w14:paraId="4B770BCB" w14:textId="77777777" w:rsidR="002B264E" w:rsidRPr="00345713" w:rsidRDefault="00D01432" w:rsidP="00D43191">
      <w:pPr>
        <w:pStyle w:val="Nagwek3"/>
      </w:pPr>
      <w:bookmarkStart w:id="53" w:name="_Toc441250832"/>
      <w:bookmarkStart w:id="54" w:name="_Toc530496926"/>
      <w:bookmarkStart w:id="55" w:name="_Toc30764027"/>
      <w:r>
        <w:t>II.7.2</w:t>
      </w:r>
      <w:r>
        <w:tab/>
        <w:t>Przetwarzanie danych osobowych przez beneficjentów</w:t>
      </w:r>
      <w:bookmarkEnd w:id="53"/>
      <w:bookmarkEnd w:id="54"/>
      <w:bookmarkEnd w:id="55"/>
    </w:p>
    <w:p w14:paraId="310C3B12" w14:textId="77777777" w:rsidR="00350A19" w:rsidRPr="00345713" w:rsidRDefault="00350A19" w:rsidP="00D43191">
      <w:r>
        <w:t>Beneficjenci mają obowiązek przetwarzania danych osobowych</w:t>
      </w:r>
      <w:r w:rsidR="00C24B90">
        <w:t xml:space="preserve"> w ram</w:t>
      </w:r>
      <w:r>
        <w:t>ach Umowy zgodnie</w:t>
      </w:r>
      <w:r w:rsidR="00C24B90">
        <w:t xml:space="preserve"> z obo</w:t>
      </w:r>
      <w:r>
        <w:t>wiązującymi przepisami prawa unijnego</w:t>
      </w:r>
      <w:r w:rsidR="00C24B90">
        <w:t xml:space="preserve"> i kra</w:t>
      </w:r>
      <w:r>
        <w:t>jowego</w:t>
      </w:r>
      <w:r w:rsidR="00C24B90">
        <w:t xml:space="preserve"> w zak</w:t>
      </w:r>
      <w:r>
        <w:t>resie ochrony danych (w tym wymogami dotyczącymi pozwoleń lub zawiadomień).</w:t>
      </w:r>
    </w:p>
    <w:p w14:paraId="3D42F097" w14:textId="77777777" w:rsidR="006A359E" w:rsidRPr="00345713" w:rsidRDefault="006A359E" w:rsidP="00D43191">
      <w:r>
        <w:t>Beneficjenci mogą udzielić swojemu personelowi dostępu wyłącznie do danych, które są bezwzględnie konieczne do realizacji Umowy, zarządzania nią</w:t>
      </w:r>
      <w:r w:rsidR="00C24B90">
        <w:t xml:space="preserve"> i jej</w:t>
      </w:r>
      <w:r>
        <w:t xml:space="preserve"> monitorowania. Beneficjent ma obowiązek zapewnić, aby pracownicy upoważnieni do przetwarzania danych osobowych zobowiązali się do zachowania poufności lub podlegali odpowiedniemu ustawowemu obowiązkowi zachowania poufności.</w:t>
      </w:r>
    </w:p>
    <w:p w14:paraId="4C149C88" w14:textId="77777777" w:rsidR="00D01432" w:rsidRPr="00345713" w:rsidRDefault="00D01432" w:rsidP="00D43191">
      <w:pPr>
        <w:rPr>
          <w:color w:val="000000"/>
        </w:rPr>
      </w:pPr>
      <w:r>
        <w:t>Beneficjenci są zobowiązani do przyjęcia odpowiednich – technicznych</w:t>
      </w:r>
      <w:r w:rsidR="00C24B90">
        <w:t xml:space="preserve"> i org</w:t>
      </w:r>
      <w:r>
        <w:t>anizacyjnych – środków bezpieczeństwa, uwzględniając ryzyko, jakie niesie ze sobą przetwarzanie oraz charakter, zakres, kontekst</w:t>
      </w:r>
      <w:r w:rsidR="00C24B90">
        <w:t xml:space="preserve"> i cel</w:t>
      </w:r>
      <w:r>
        <w:t xml:space="preserve"> przetwarzania określonych danych osobowych. Należy to uczynić</w:t>
      </w:r>
      <w:r w:rsidR="00C24B90">
        <w:t xml:space="preserve"> w cel</w:t>
      </w:r>
      <w:r>
        <w:t>u zagwarantowania</w:t>
      </w:r>
      <w:r w:rsidR="00C24B90">
        <w:t xml:space="preserve"> w odp</w:t>
      </w:r>
      <w:r>
        <w:t>owiednich przypadkach:</w:t>
      </w:r>
    </w:p>
    <w:p w14:paraId="4DC5F8C7" w14:textId="77777777" w:rsidR="00F12D54" w:rsidRDefault="00F12D54" w:rsidP="003A2A37">
      <w:pPr>
        <w:numPr>
          <w:ilvl w:val="0"/>
          <w:numId w:val="81"/>
        </w:numPr>
        <w:spacing w:before="0" w:beforeAutospacing="0" w:after="0" w:afterAutospacing="0"/>
      </w:pPr>
      <w:proofErr w:type="spellStart"/>
      <w:r>
        <w:t>pseudonimizacji</w:t>
      </w:r>
      <w:proofErr w:type="spellEnd"/>
      <w:r w:rsidR="00C24B90">
        <w:t xml:space="preserve"> i szy</w:t>
      </w:r>
      <w:r>
        <w:t>frowania danych osobowych;</w:t>
      </w:r>
    </w:p>
    <w:p w14:paraId="3EE5CF4C" w14:textId="77777777" w:rsidR="00C76464" w:rsidRPr="00345713" w:rsidRDefault="00C76464" w:rsidP="00BB12FC">
      <w:pPr>
        <w:spacing w:before="0" w:beforeAutospacing="0" w:after="0" w:afterAutospacing="0"/>
        <w:ind w:left="720"/>
      </w:pPr>
    </w:p>
    <w:p w14:paraId="114E6AC2" w14:textId="77777777" w:rsidR="00F12D54" w:rsidRDefault="00F12D54" w:rsidP="003A2A37">
      <w:pPr>
        <w:numPr>
          <w:ilvl w:val="0"/>
          <w:numId w:val="81"/>
        </w:numPr>
        <w:spacing w:before="0" w:beforeAutospacing="0" w:after="0" w:afterAutospacing="0"/>
      </w:pPr>
      <w:r>
        <w:lastRenderedPageBreak/>
        <w:t>zdolności do ciągłego zapewnienia poufności, integralności, dostępności</w:t>
      </w:r>
      <w:r w:rsidR="00C24B90">
        <w:t xml:space="preserve"> i odp</w:t>
      </w:r>
      <w:r>
        <w:t>orności systemów</w:t>
      </w:r>
      <w:r w:rsidR="00C24B90">
        <w:t xml:space="preserve"> i usł</w:t>
      </w:r>
      <w:r>
        <w:t>ug przetwarzania;</w:t>
      </w:r>
    </w:p>
    <w:p w14:paraId="08624748" w14:textId="77777777" w:rsidR="00C76464" w:rsidRDefault="00C76464" w:rsidP="00BB12FC">
      <w:pPr>
        <w:spacing w:before="0" w:beforeAutospacing="0" w:after="0" w:afterAutospacing="0"/>
        <w:ind w:left="720"/>
      </w:pPr>
    </w:p>
    <w:p w14:paraId="3D554E7A" w14:textId="77777777" w:rsidR="00F12D54" w:rsidRDefault="00F12D54" w:rsidP="003A2A37">
      <w:pPr>
        <w:numPr>
          <w:ilvl w:val="0"/>
          <w:numId w:val="81"/>
        </w:numPr>
        <w:spacing w:before="0" w:beforeAutospacing="0" w:after="0" w:afterAutospacing="0"/>
      </w:pPr>
      <w:r>
        <w:t>zdolności do szybkiego przywrócenia dostępności danych osobowych</w:t>
      </w:r>
      <w:r w:rsidR="00C24B90">
        <w:t xml:space="preserve"> i dos</w:t>
      </w:r>
      <w:r>
        <w:t>tępu do nich</w:t>
      </w:r>
      <w:r w:rsidR="00C24B90">
        <w:t xml:space="preserve"> w raz</w:t>
      </w:r>
      <w:r>
        <w:t>ie incydentu fizycznego lub technicznego;</w:t>
      </w:r>
    </w:p>
    <w:p w14:paraId="0CB07670" w14:textId="77777777" w:rsidR="00C76464" w:rsidRDefault="00C76464" w:rsidP="00BB12FC">
      <w:pPr>
        <w:spacing w:before="0" w:beforeAutospacing="0" w:after="0" w:afterAutospacing="0"/>
        <w:ind w:left="720"/>
      </w:pPr>
    </w:p>
    <w:p w14:paraId="68BC718A" w14:textId="77777777" w:rsidR="00F12D54" w:rsidRDefault="00F12D54" w:rsidP="003A2A37">
      <w:pPr>
        <w:numPr>
          <w:ilvl w:val="0"/>
          <w:numId w:val="81"/>
        </w:numPr>
        <w:spacing w:before="0" w:beforeAutospacing="0" w:after="0" w:afterAutospacing="0"/>
      </w:pPr>
      <w:r>
        <w:t>regularnego testowania, mierzenia</w:t>
      </w:r>
      <w:r w:rsidR="00C24B90">
        <w:t xml:space="preserve"> i oce</w:t>
      </w:r>
      <w:r>
        <w:t>niania skuteczności środków technicznych</w:t>
      </w:r>
      <w:r w:rsidR="00C24B90">
        <w:t xml:space="preserve"> i org</w:t>
      </w:r>
      <w:r>
        <w:t>anizacyjnych mających zapewnić bezpieczeństwo przetwarzania;</w:t>
      </w:r>
    </w:p>
    <w:p w14:paraId="205CA695" w14:textId="77777777" w:rsidR="00C76464" w:rsidRDefault="00C76464" w:rsidP="00BB12FC">
      <w:pPr>
        <w:spacing w:before="0" w:beforeAutospacing="0" w:after="0" w:afterAutospacing="0"/>
        <w:ind w:left="720"/>
      </w:pPr>
    </w:p>
    <w:p w14:paraId="1D6F67BD" w14:textId="77777777" w:rsidR="00F12D54" w:rsidRPr="00345713" w:rsidRDefault="00F12D54" w:rsidP="003A2A37">
      <w:pPr>
        <w:numPr>
          <w:ilvl w:val="0"/>
          <w:numId w:val="81"/>
        </w:numPr>
        <w:spacing w:before="0" w:beforeAutospacing="0" w:after="0" w:afterAutospacing="0"/>
      </w:pPr>
      <w:r>
        <w:t>środków ochrony danych osobowych przed przypadkowym lub niezgodnym</w:t>
      </w:r>
      <w:r w:rsidR="00C24B90">
        <w:t xml:space="preserve"> z pra</w:t>
      </w:r>
      <w:r>
        <w:t>wem zniszczeniem, utraceniem, zmodyfikowaniem, nieuprawnionym ujawnieniem lub nieuprawnionym dostępem do danych osobowych przesyłanych, przechowywanych lub</w:t>
      </w:r>
      <w:r w:rsidR="00C24B90">
        <w:t xml:space="preserve"> w inn</w:t>
      </w:r>
      <w:r>
        <w:t>y sposób przetwarzanych.</w:t>
      </w:r>
    </w:p>
    <w:p w14:paraId="55EB8DAF" w14:textId="77777777" w:rsidR="00227A82" w:rsidRPr="00345713" w:rsidRDefault="000A4F91" w:rsidP="00D43191">
      <w:pPr>
        <w:pStyle w:val="Nagwek2"/>
      </w:pPr>
      <w:bookmarkStart w:id="56" w:name="_Toc97092419"/>
      <w:bookmarkStart w:id="57" w:name="_Toc441250833"/>
      <w:bookmarkStart w:id="58" w:name="_Toc530496927"/>
      <w:bookmarkStart w:id="59" w:name="_Toc30764028"/>
      <w:r>
        <w:t xml:space="preserve">Artykuł II.8 – </w:t>
      </w:r>
      <w:bookmarkEnd w:id="56"/>
      <w:r>
        <w:t>Eksponowanie informacji</w:t>
      </w:r>
      <w:r w:rsidR="00C24B90">
        <w:t xml:space="preserve"> o fin</w:t>
      </w:r>
      <w:r>
        <w:t>ansowaniu ze środków unijnych</w:t>
      </w:r>
      <w:bookmarkEnd w:id="57"/>
      <w:bookmarkEnd w:id="58"/>
      <w:bookmarkEnd w:id="59"/>
    </w:p>
    <w:p w14:paraId="48A74C1D" w14:textId="77777777" w:rsidR="00E9431B" w:rsidRPr="00345713" w:rsidRDefault="00227A82" w:rsidP="00013EEC">
      <w:pPr>
        <w:pStyle w:val="Nagwek3"/>
      </w:pPr>
      <w:bookmarkStart w:id="60" w:name="_Toc441250834"/>
      <w:bookmarkStart w:id="61" w:name="_Toc530496928"/>
      <w:bookmarkStart w:id="62" w:name="_Toc30764029"/>
      <w:r>
        <w:t>II.8.1</w:t>
      </w:r>
      <w:r>
        <w:tab/>
        <w:t>Informacje dotyczące finansowania ze środków unijnych oraz wykorzystanie godła Unii Europejskiej</w:t>
      </w:r>
      <w:bookmarkEnd w:id="60"/>
      <w:bookmarkEnd w:id="61"/>
      <w:bookmarkEnd w:id="62"/>
    </w:p>
    <w:p w14:paraId="551FD0B2" w14:textId="77777777" w:rsidR="00DB78D9" w:rsidRPr="00345713" w:rsidRDefault="00227A82" w:rsidP="00013EEC">
      <w:r>
        <w:t>O ile Komisja nie postanowi inaczej lub nie zwróci się</w:t>
      </w:r>
      <w:r w:rsidR="00C24B90">
        <w:t xml:space="preserve"> o zmi</w:t>
      </w:r>
      <w:r>
        <w:t>anę postanowień, wszelka związana</w:t>
      </w:r>
      <w:r w:rsidR="00C24B90">
        <w:t xml:space="preserve"> z dzi</w:t>
      </w:r>
      <w:r>
        <w:t>ałaniem komunikacja lub publikacja prac, prowadzona przez beneficjentów wspólnie lub indywidualnie,</w:t>
      </w:r>
      <w:r w:rsidR="00C24B90">
        <w:t xml:space="preserve"> w tym</w:t>
      </w:r>
      <w:r>
        <w:t xml:space="preserve"> podczas konferencji, seminariów lub we wszelkich materiałach informacyjnych lub promocyjnych (takich jak broszury, ulotki, plakaty, prezentacje,</w:t>
      </w:r>
      <w:r w:rsidR="00C24B90">
        <w:t xml:space="preserve"> w for</w:t>
      </w:r>
      <w:r>
        <w:t>mie elektronicznej itp.) musi:</w:t>
      </w:r>
    </w:p>
    <w:p w14:paraId="4096268A" w14:textId="77777777" w:rsidR="00DB78D9" w:rsidRPr="00345713" w:rsidRDefault="00227A82" w:rsidP="003A2A37">
      <w:pPr>
        <w:numPr>
          <w:ilvl w:val="0"/>
          <w:numId w:val="17"/>
        </w:numPr>
      </w:pPr>
      <w:r>
        <w:t>wskazywać, że działanie otrzymało finansowanie ze środków Unii; oraz</w:t>
      </w:r>
    </w:p>
    <w:p w14:paraId="5B5148DC" w14:textId="77777777" w:rsidR="00AD6CDD" w:rsidRPr="00345713" w:rsidRDefault="00227A82" w:rsidP="003A2A37">
      <w:pPr>
        <w:numPr>
          <w:ilvl w:val="0"/>
          <w:numId w:val="17"/>
        </w:numPr>
      </w:pPr>
      <w:r>
        <w:t>być opatrzona godłem Unii Europejskiej.</w:t>
      </w:r>
    </w:p>
    <w:p w14:paraId="5864F9C2" w14:textId="77777777" w:rsidR="00AD6CDD" w:rsidRPr="00345713" w:rsidRDefault="00227A82" w:rsidP="00013EEC">
      <w:r>
        <w:t>W przypadku umieszczenia godła</w:t>
      </w:r>
      <w:r w:rsidR="00C24B90">
        <w:t xml:space="preserve"> w sąs</w:t>
      </w:r>
      <w:r>
        <w:t>iedztwie innego logo godło Unii Europejskiej musi być odpowiednio wyróżnione.</w:t>
      </w:r>
    </w:p>
    <w:p w14:paraId="34CE7F83" w14:textId="77777777" w:rsidR="000F63F5" w:rsidRPr="00345713" w:rsidRDefault="00227A82" w:rsidP="00013EEC">
      <w:r>
        <w:t>Obowiązek umieszczenia godła Unii Europejskiej nie przyznaje beneficjentom wyłącznego prawa do jego wykorzystania. Beneficjenci nie mogą przywłaszczyć sobie godła Unii Europejskiej ani podobnego znaku towarowego lub logo poprzez ich zarejestrowanie ani</w:t>
      </w:r>
      <w:r w:rsidR="00C24B90">
        <w:t xml:space="preserve"> w żad</w:t>
      </w:r>
      <w:r>
        <w:t>en inny sposób.</w:t>
      </w:r>
    </w:p>
    <w:p w14:paraId="70FE9DFA" w14:textId="77777777" w:rsidR="00A321C2" w:rsidRPr="00345713" w:rsidRDefault="00227A82" w:rsidP="00013EEC">
      <w:r>
        <w:t>Do celów akapitu pierwszego, drugiego</w:t>
      </w:r>
      <w:r w:rsidR="00C24B90">
        <w:t xml:space="preserve"> i trz</w:t>
      </w:r>
      <w:r>
        <w:t>eciego oraz na warunkach określonych</w:t>
      </w:r>
      <w:r w:rsidR="00C24B90">
        <w:t xml:space="preserve"> w tyc</w:t>
      </w:r>
      <w:r>
        <w:t>h ustępach beneficjenci mogą wykorzystywać godło Unii Europejskiej bez uprzedniego uzyskania zezwolenia Komisji.</w:t>
      </w:r>
    </w:p>
    <w:p w14:paraId="72FF7468" w14:textId="77777777" w:rsidR="00E9431B" w:rsidRPr="00345713" w:rsidRDefault="00227A82" w:rsidP="00013EEC">
      <w:pPr>
        <w:pStyle w:val="Nagwek3"/>
      </w:pPr>
      <w:bookmarkStart w:id="63" w:name="_Toc441250835"/>
      <w:bookmarkStart w:id="64" w:name="_Toc530496929"/>
      <w:bookmarkStart w:id="65" w:name="_Toc30764030"/>
      <w:r>
        <w:t>II.8.2</w:t>
      </w:r>
      <w:r>
        <w:tab/>
        <w:t>Zastrzeżenia wyłączające odpowiedzialność Komisji</w:t>
      </w:r>
      <w:bookmarkEnd w:id="63"/>
      <w:bookmarkEnd w:id="64"/>
      <w:bookmarkEnd w:id="65"/>
    </w:p>
    <w:p w14:paraId="4D21ABE6" w14:textId="77777777" w:rsidR="00DB78D9" w:rsidRPr="00345713" w:rsidRDefault="00227A82" w:rsidP="00013EEC">
      <w:r>
        <w:t>We wszelkich związanych</w:t>
      </w:r>
      <w:r w:rsidR="00C24B90">
        <w:t xml:space="preserve"> z dzi</w:t>
      </w:r>
      <w:r>
        <w:t>ałaniem komunikatach lub publikacjach wydawanych przez beneficjentów, wspólnie lub indywidualnie,</w:t>
      </w:r>
      <w:r w:rsidR="00C24B90">
        <w:t xml:space="preserve"> w jak</w:t>
      </w:r>
      <w:r>
        <w:t>iejkolwiek formie</w:t>
      </w:r>
      <w:r w:rsidR="00C24B90">
        <w:t xml:space="preserve"> i prz</w:t>
      </w:r>
      <w:r>
        <w:t>y wykorzystaniu dowolnych środków, należy wskazać, że:</w:t>
      </w:r>
    </w:p>
    <w:p w14:paraId="1FCC629C" w14:textId="77777777" w:rsidR="00DB78D9" w:rsidRPr="00345713" w:rsidRDefault="00227A82" w:rsidP="003A2A37">
      <w:pPr>
        <w:numPr>
          <w:ilvl w:val="0"/>
          <w:numId w:val="18"/>
        </w:numPr>
      </w:pPr>
      <w:r>
        <w:t>odzwierciedlają ona jedynie opinię ich autora; oraz</w:t>
      </w:r>
    </w:p>
    <w:p w14:paraId="7EEFBC28" w14:textId="77777777" w:rsidR="00227A82" w:rsidRPr="00345713" w:rsidRDefault="00227A82" w:rsidP="003A2A37">
      <w:pPr>
        <w:numPr>
          <w:ilvl w:val="0"/>
          <w:numId w:val="18"/>
        </w:numPr>
      </w:pPr>
      <w:r>
        <w:t>Komisja nie jest odpowiedzialna za sposób wykorzystania zawartych</w:t>
      </w:r>
      <w:r w:rsidR="00C24B90">
        <w:t xml:space="preserve"> w nic</w:t>
      </w:r>
      <w:r>
        <w:t>h informacji.</w:t>
      </w:r>
    </w:p>
    <w:p w14:paraId="4E12414B" w14:textId="77777777" w:rsidR="00C3338F" w:rsidRPr="00345713" w:rsidRDefault="000A4F91" w:rsidP="00013EEC">
      <w:pPr>
        <w:pStyle w:val="Nagwek2"/>
      </w:pPr>
      <w:bookmarkStart w:id="66" w:name="_Toc441250836"/>
      <w:bookmarkStart w:id="67" w:name="_Toc530496930"/>
      <w:bookmarkStart w:id="68" w:name="_Toc30764031"/>
      <w:r>
        <w:lastRenderedPageBreak/>
        <w:t>Artykuł II.9 – Wcześniej istniejące prawa</w:t>
      </w:r>
      <w:r w:rsidR="00C24B90">
        <w:t xml:space="preserve"> i wła</w:t>
      </w:r>
      <w:r>
        <w:t>sność oraz wykorzystanie wyników (w tym praw własności intelektualnej</w:t>
      </w:r>
      <w:r w:rsidR="00C24B90">
        <w:t xml:space="preserve"> i prz</w:t>
      </w:r>
      <w:r>
        <w:t>emysłowej)</w:t>
      </w:r>
      <w:bookmarkEnd w:id="66"/>
      <w:bookmarkEnd w:id="67"/>
      <w:bookmarkEnd w:id="68"/>
    </w:p>
    <w:p w14:paraId="2D5FB057" w14:textId="77777777" w:rsidR="008A7074" w:rsidRPr="00345713" w:rsidRDefault="008A7074" w:rsidP="00013EEC">
      <w:pPr>
        <w:pStyle w:val="Nagwek3"/>
      </w:pPr>
      <w:bookmarkStart w:id="69" w:name="_Toc441250837"/>
      <w:bookmarkStart w:id="70" w:name="_Toc530496931"/>
      <w:bookmarkStart w:id="71" w:name="_Toc30764032"/>
      <w:r>
        <w:t>II.9.1</w:t>
      </w:r>
      <w:r>
        <w:tab/>
        <w:t>Prawo własności wyników przysługujące beneficjentom</w:t>
      </w:r>
      <w:bookmarkEnd w:id="69"/>
      <w:bookmarkEnd w:id="70"/>
      <w:bookmarkEnd w:id="71"/>
    </w:p>
    <w:p w14:paraId="4AFCC821" w14:textId="77777777" w:rsidR="00796021" w:rsidRPr="00345713" w:rsidRDefault="007163F0" w:rsidP="00013EEC">
      <w:r>
        <w:t>O ile Umowa nie stanowi inaczej, prawo własności,</w:t>
      </w:r>
      <w:r w:rsidR="00C24B90">
        <w:t xml:space="preserve"> w tym</w:t>
      </w:r>
      <w:r>
        <w:t xml:space="preserve"> prawo własności przemysłowej</w:t>
      </w:r>
      <w:r w:rsidR="00C24B90">
        <w:t xml:space="preserve"> i int</w:t>
      </w:r>
      <w:r>
        <w:t>elektualnej,</w:t>
      </w:r>
      <w:r w:rsidR="00C24B90">
        <w:t xml:space="preserve"> w odn</w:t>
      </w:r>
      <w:r>
        <w:t>iesieniu do wyników działania, raportów oraz innych związanych</w:t>
      </w:r>
      <w:r w:rsidR="00C24B90">
        <w:t xml:space="preserve"> z dzi</w:t>
      </w:r>
      <w:r>
        <w:t>ałaniem dokumentów, przysługuje beneficjentom.</w:t>
      </w:r>
    </w:p>
    <w:p w14:paraId="5E96819D" w14:textId="77777777" w:rsidR="00B25031" w:rsidRPr="00345713" w:rsidRDefault="00B25031" w:rsidP="00013EEC">
      <w:pPr>
        <w:pStyle w:val="Nagwek3"/>
      </w:pPr>
      <w:bookmarkStart w:id="72" w:name="_Toc441250838"/>
      <w:bookmarkStart w:id="73" w:name="_Toc530496932"/>
      <w:bookmarkStart w:id="74" w:name="_Toc30764033"/>
      <w:r>
        <w:t>II.9.2</w:t>
      </w:r>
      <w:r>
        <w:tab/>
        <w:t>Wcześniej istniejące prawa</w:t>
      </w:r>
      <w:bookmarkEnd w:id="72"/>
      <w:bookmarkEnd w:id="73"/>
      <w:bookmarkEnd w:id="74"/>
    </w:p>
    <w:p w14:paraId="4EF745E4" w14:textId="77777777" w:rsidR="00427BE9" w:rsidRPr="00345713" w:rsidRDefault="002643E2" w:rsidP="00013EEC">
      <w:r>
        <w:t>W przypadku gdy Komisja przekazuje beneficjentom pisemny wniosek,</w:t>
      </w:r>
      <w:r w:rsidR="00C24B90">
        <w:t xml:space="preserve"> w któ</w:t>
      </w:r>
      <w:r>
        <w:t>rym określa wyniki, jakie zamierza wykorzystać, beneficjenci są zobowiązani do:</w:t>
      </w:r>
    </w:p>
    <w:p w14:paraId="7F411E35" w14:textId="77777777" w:rsidR="00427BE9" w:rsidRPr="00345713" w:rsidRDefault="00427BE9" w:rsidP="003A2A37">
      <w:pPr>
        <w:numPr>
          <w:ilvl w:val="0"/>
          <w:numId w:val="19"/>
        </w:numPr>
      </w:pPr>
      <w:r>
        <w:t>sporządzenia wykazu wszystkich wcześniej istniejących praw objętych tymi wynikami; oraz</w:t>
      </w:r>
    </w:p>
    <w:p w14:paraId="0030C40E" w14:textId="77777777" w:rsidR="00427BE9" w:rsidRPr="00345713" w:rsidRDefault="00427BE9" w:rsidP="003A2A37">
      <w:pPr>
        <w:numPr>
          <w:ilvl w:val="0"/>
          <w:numId w:val="19"/>
        </w:numPr>
      </w:pPr>
      <w:r>
        <w:t>przekazania przedmiotowego wykazu Komisji najpóźniej wraz</w:t>
      </w:r>
      <w:r w:rsidR="00C24B90">
        <w:t xml:space="preserve"> z wni</w:t>
      </w:r>
      <w:r>
        <w:t>oskiem</w:t>
      </w:r>
      <w:r w:rsidR="00C24B90">
        <w:t xml:space="preserve"> o pła</w:t>
      </w:r>
      <w:r>
        <w:t>tność salda.</w:t>
      </w:r>
    </w:p>
    <w:p w14:paraId="69DDF6AB" w14:textId="77777777" w:rsidR="00B25031" w:rsidRPr="00345713" w:rsidRDefault="00B25031" w:rsidP="00013EEC">
      <w:r>
        <w:t>Beneficjenci muszą przy wykonywaniu Umowy posiadać wszelkie przysługujące im lub podmiotom</w:t>
      </w:r>
      <w:r w:rsidR="00C24B90">
        <w:t xml:space="preserve"> z nim</w:t>
      </w:r>
      <w:r>
        <w:t>i powiązanym prawa do wykonywania wszelkich wcześniej istniejących praw.</w:t>
      </w:r>
    </w:p>
    <w:p w14:paraId="034CF710" w14:textId="77777777" w:rsidR="00C3338F" w:rsidRPr="00345713" w:rsidRDefault="00EE010E" w:rsidP="00013EEC">
      <w:pPr>
        <w:pStyle w:val="Nagwek3"/>
      </w:pPr>
      <w:bookmarkStart w:id="75" w:name="_Toc441250839"/>
      <w:bookmarkStart w:id="76" w:name="_Toc530496933"/>
      <w:bookmarkStart w:id="77" w:name="_Toc30764034"/>
      <w:r>
        <w:t>II.9.3</w:t>
      </w:r>
      <w:r>
        <w:tab/>
        <w:t>Prawa do korzystania</w:t>
      </w:r>
      <w:r w:rsidR="00C24B90">
        <w:t xml:space="preserve"> z wyn</w:t>
      </w:r>
      <w:r>
        <w:t>ików oraz wcześniej istniejących praw przez Unię</w:t>
      </w:r>
      <w:bookmarkEnd w:id="75"/>
      <w:bookmarkEnd w:id="76"/>
      <w:bookmarkEnd w:id="77"/>
    </w:p>
    <w:p w14:paraId="3AAEC2C1" w14:textId="77777777" w:rsidR="009468EC" w:rsidRPr="00345713" w:rsidRDefault="00540277" w:rsidP="00013EEC">
      <w:pPr>
        <w:rPr>
          <w:i/>
        </w:rPr>
      </w:pPr>
      <w:r>
        <w:t>Beneficjenci przyznają Unii następujące prawa do korzystania</w:t>
      </w:r>
      <w:r w:rsidR="00C24B90">
        <w:t xml:space="preserve"> z wyn</w:t>
      </w:r>
      <w:r>
        <w:t>ików działania:</w:t>
      </w:r>
    </w:p>
    <w:p w14:paraId="5D724AD1" w14:textId="77777777" w:rsidR="009468EC" w:rsidRPr="00345713" w:rsidRDefault="00790F1E" w:rsidP="00013EEC">
      <w:pPr>
        <w:adjustRightInd w:val="0"/>
        <w:ind w:left="426" w:hanging="426"/>
        <w:rPr>
          <w:i/>
          <w:szCs w:val="24"/>
        </w:rPr>
      </w:pPr>
      <w:r>
        <w:t>a)</w:t>
      </w:r>
      <w:r>
        <w:tab/>
        <w:t>prawo do korzystania</w:t>
      </w:r>
      <w:r w:rsidR="00C24B90">
        <w:t xml:space="preserve"> z wyn</w:t>
      </w:r>
      <w:r>
        <w:t>ików na własny użytek,</w:t>
      </w:r>
      <w:r w:rsidR="00C24B90">
        <w:t xml:space="preserve"> w szc</w:t>
      </w:r>
      <w:r>
        <w:t>zególności</w:t>
      </w:r>
      <w:r w:rsidR="00C24B90">
        <w:t xml:space="preserve"> w cel</w:t>
      </w:r>
      <w:r>
        <w:t>u udostępnienia osobom pracującym dla Komisji, innych instytucji, agencji</w:t>
      </w:r>
      <w:r w:rsidR="00C24B90">
        <w:t xml:space="preserve"> i org</w:t>
      </w:r>
      <w:r>
        <w:t>anów unijnych oraz instytucjom</w:t>
      </w:r>
      <w:r w:rsidR="00C24B90">
        <w:t xml:space="preserve"> w pań</w:t>
      </w:r>
      <w:r>
        <w:t>stwach członkowskich, jak również do celów kopiowania</w:t>
      </w:r>
      <w:r w:rsidR="00C24B90">
        <w:t xml:space="preserve"> i odt</w:t>
      </w:r>
      <w:r>
        <w:t>warzania</w:t>
      </w:r>
      <w:r w:rsidR="00C24B90">
        <w:t xml:space="preserve"> w cał</w:t>
      </w:r>
      <w:r>
        <w:t>ości lub części</w:t>
      </w:r>
      <w:r w:rsidR="00C24B90">
        <w:t xml:space="preserve"> i w nie</w:t>
      </w:r>
      <w:r>
        <w:t>ograniczonej liczbie kopii;</w:t>
      </w:r>
    </w:p>
    <w:p w14:paraId="04AD2991" w14:textId="77777777" w:rsidR="009468EC" w:rsidRPr="00345713" w:rsidRDefault="00013EEC" w:rsidP="00013EEC">
      <w:pPr>
        <w:adjustRightInd w:val="0"/>
        <w:ind w:left="426" w:hanging="426"/>
        <w:rPr>
          <w:i/>
          <w:szCs w:val="24"/>
        </w:rPr>
      </w:pPr>
      <w:r>
        <w:t>b)</w:t>
      </w:r>
      <w:r>
        <w:tab/>
        <w:t>zwielokrotnianie: prawo do upoważniania do bezpośredniego lub pośredniego, tymczasowego lub stałego zwielokrotniania wyników przy wykorzystaniu dowolnych środków (mechanicznych, cyfrowych lub innych)</w:t>
      </w:r>
      <w:r w:rsidR="00C24B90">
        <w:t xml:space="preserve"> i w jak</w:t>
      </w:r>
      <w:r>
        <w:t>iejkolwiek formie,</w:t>
      </w:r>
      <w:r w:rsidR="00C24B90">
        <w:t xml:space="preserve"> w cał</w:t>
      </w:r>
      <w:r>
        <w:t>ości lub częściowo;</w:t>
      </w:r>
    </w:p>
    <w:p w14:paraId="022059E6" w14:textId="77777777" w:rsidR="009468EC" w:rsidRPr="00345713" w:rsidRDefault="009468EC" w:rsidP="00013EEC">
      <w:pPr>
        <w:adjustRightInd w:val="0"/>
        <w:ind w:left="426" w:hanging="426"/>
        <w:rPr>
          <w:i/>
          <w:szCs w:val="24"/>
        </w:rPr>
      </w:pPr>
      <w:r>
        <w:t>c)</w:t>
      </w:r>
      <w:r>
        <w:tab/>
        <w:t>publiczne udostępnianie: prawo do upoważniania do publicznego udostępniania, wykonywania lub podawania do wiadomości publicznej wyników drogą przewodową lub bezprzewodową,</w:t>
      </w:r>
      <w:r w:rsidR="00C24B90">
        <w:t xml:space="preserve"> w tym</w:t>
      </w:r>
      <w:r>
        <w:t xml:space="preserve"> do publicznego udostępniania wyników</w:t>
      </w:r>
      <w:r w:rsidR="00C24B90">
        <w:t xml:space="preserve"> w tak</w:t>
      </w:r>
      <w:r>
        <w:t>i sposób, aby każdy mógł mieć do nich dostęp</w:t>
      </w:r>
      <w:r w:rsidR="00C24B90">
        <w:t xml:space="preserve"> w mie</w:t>
      </w:r>
      <w:r>
        <w:t>jscu</w:t>
      </w:r>
      <w:r w:rsidR="00C24B90">
        <w:t xml:space="preserve"> i cza</w:t>
      </w:r>
      <w:r>
        <w:t>sie przez siebie wybranym; prawo to obejmuje również udostępnianie</w:t>
      </w:r>
      <w:r w:rsidR="00C24B90">
        <w:t xml:space="preserve"> i nad</w:t>
      </w:r>
      <w:r>
        <w:t>awanie drogą kablową lub satelitarną;</w:t>
      </w:r>
    </w:p>
    <w:p w14:paraId="2E258534" w14:textId="77777777" w:rsidR="009468EC" w:rsidRPr="00345713" w:rsidRDefault="00013EEC" w:rsidP="00013EEC">
      <w:pPr>
        <w:adjustRightInd w:val="0"/>
        <w:ind w:left="426" w:hanging="426"/>
        <w:rPr>
          <w:szCs w:val="24"/>
        </w:rPr>
      </w:pPr>
      <w:r>
        <w:t>d)</w:t>
      </w:r>
      <w:r>
        <w:tab/>
        <w:t>rozpowszechnianie: prawo do upoważniania do każdej formy publicznego rozpowszechniania wyników lub ich kopii;</w:t>
      </w:r>
    </w:p>
    <w:p w14:paraId="7073DBA8" w14:textId="77777777" w:rsidR="00976E05" w:rsidRPr="00345713" w:rsidRDefault="00976E05" w:rsidP="00013EEC">
      <w:pPr>
        <w:adjustRightInd w:val="0"/>
        <w:ind w:left="426" w:hanging="426"/>
        <w:rPr>
          <w:szCs w:val="24"/>
        </w:rPr>
      </w:pPr>
      <w:r>
        <w:t>e)</w:t>
      </w:r>
      <w:r>
        <w:tab/>
        <w:t>przystosowanie: prawo do modyfikowania wyników;</w:t>
      </w:r>
    </w:p>
    <w:p w14:paraId="27BE9C9E" w14:textId="77777777" w:rsidR="00C92FE4" w:rsidRPr="00345713" w:rsidRDefault="00C92FE4" w:rsidP="00013EEC">
      <w:pPr>
        <w:adjustRightInd w:val="0"/>
        <w:ind w:left="426" w:hanging="426"/>
        <w:rPr>
          <w:szCs w:val="24"/>
        </w:rPr>
      </w:pPr>
      <w:r>
        <w:t>f)</w:t>
      </w:r>
      <w:r>
        <w:tab/>
        <w:t>tłumaczenia;</w:t>
      </w:r>
    </w:p>
    <w:p w14:paraId="568B121E" w14:textId="77777777" w:rsidR="00C66DCF" w:rsidRPr="00C24B90" w:rsidRDefault="00C92FE4" w:rsidP="00013EEC">
      <w:pPr>
        <w:adjustRightInd w:val="0"/>
        <w:ind w:left="426" w:hanging="426"/>
        <w:rPr>
          <w:szCs w:val="24"/>
        </w:rPr>
      </w:pPr>
      <w:r>
        <w:lastRenderedPageBreak/>
        <w:t>g)</w:t>
      </w:r>
      <w:r>
        <w:tab/>
        <w:t>prawo do przechowywania</w:t>
      </w:r>
      <w:r w:rsidR="00C24B90">
        <w:t xml:space="preserve"> i arc</w:t>
      </w:r>
      <w:r>
        <w:t>hiwizowania wyników zgodnie</w:t>
      </w:r>
      <w:r w:rsidR="00C24B90">
        <w:t xml:space="preserve"> z zas</w:t>
      </w:r>
      <w:r>
        <w:t>adami zarządzania dokumentami mającymi zastosowanie do Komisji,</w:t>
      </w:r>
      <w:r w:rsidR="00C24B90">
        <w:t xml:space="preserve"> w tym</w:t>
      </w:r>
      <w:r>
        <w:t xml:space="preserve"> prawo do cyfryzacji lub konwersji formatu dla celów ochrony dokumentów lub nowego wykorzystywania</w:t>
      </w:r>
      <w:r w:rsidRPr="00C24B90">
        <w:t>;</w:t>
      </w:r>
      <w:r w:rsidR="00C24B90" w:rsidRPr="00C24B90">
        <w:t xml:space="preserve"> </w:t>
      </w:r>
    </w:p>
    <w:p w14:paraId="3042F5FF" w14:textId="77777777" w:rsidR="009468EC" w:rsidRPr="00345713" w:rsidRDefault="00C92FE4" w:rsidP="00013EEC">
      <w:pPr>
        <w:adjustRightInd w:val="0"/>
        <w:ind w:left="426" w:hanging="426"/>
        <w:rPr>
          <w:szCs w:val="24"/>
        </w:rPr>
      </w:pPr>
      <w:r>
        <w:t>h)</w:t>
      </w:r>
      <w:r>
        <w:tab/>
        <w:t>w przypadku gdy wyniki są dokumentami – prawo do upoważniania do ponownego wykorzystywania tych dokumentów zgodnie</w:t>
      </w:r>
      <w:r w:rsidR="00C24B90">
        <w:t xml:space="preserve"> z dec</w:t>
      </w:r>
      <w:r>
        <w:t>yzją Komisji 2011/833/UE</w:t>
      </w:r>
      <w:r w:rsidR="00C24B90">
        <w:t xml:space="preserve"> z dni</w:t>
      </w:r>
      <w:r>
        <w:t>a 12 grudnia 20</w:t>
      </w:r>
      <w:r w:rsidRPr="00C24B90">
        <w:t>11</w:t>
      </w:r>
      <w:r w:rsidR="00C24B90" w:rsidRPr="00C24B90">
        <w:t> </w:t>
      </w:r>
      <w:r w:rsidRPr="00C24B90">
        <w:t>r.</w:t>
      </w:r>
      <w:r w:rsidR="00C24B90">
        <w:t xml:space="preserve"> w spr</w:t>
      </w:r>
      <w:r>
        <w:t>awie ponownego wykorzystywania dokumentów Komisji, jeżeli decyzja ta ma zastosowanie,</w:t>
      </w:r>
      <w:r w:rsidR="00C24B90">
        <w:t xml:space="preserve"> i jeż</w:t>
      </w:r>
      <w:r>
        <w:t>eli dokumenty wchodzą</w:t>
      </w:r>
      <w:r w:rsidR="00C24B90">
        <w:t xml:space="preserve"> w jej</w:t>
      </w:r>
      <w:r>
        <w:t xml:space="preserve"> zakres stosowania</w:t>
      </w:r>
      <w:r w:rsidR="00C24B90">
        <w:t xml:space="preserve"> i nie</w:t>
      </w:r>
      <w:r>
        <w:t xml:space="preserve"> są wyłączone na mocy jakichkolwiek jej przepisów. Dla celów tego postanowienia terminy „ponowne wykorzystywanie” i „dokument” mają znaczenie nadane im</w:t>
      </w:r>
      <w:r w:rsidR="00C24B90">
        <w:t xml:space="preserve"> w dec</w:t>
      </w:r>
      <w:r>
        <w:t>yzji 2011/833/UE.</w:t>
      </w:r>
    </w:p>
    <w:p w14:paraId="13E3FD19" w14:textId="77777777" w:rsidR="004770BC" w:rsidRPr="00345713" w:rsidRDefault="00396C3A" w:rsidP="00013EEC">
      <w:r>
        <w:t>Wyżej wymienione prawa do korzystania</w:t>
      </w:r>
      <w:r w:rsidR="00C24B90">
        <w:t xml:space="preserve"> z wyn</w:t>
      </w:r>
      <w:r>
        <w:t>ików można doprecyzować</w:t>
      </w:r>
      <w:r w:rsidR="00C24B90">
        <w:t xml:space="preserve"> w War</w:t>
      </w:r>
      <w:r>
        <w:t>unkach Szczegółowych.</w:t>
      </w:r>
    </w:p>
    <w:p w14:paraId="2C716A2C" w14:textId="77777777" w:rsidR="00790F1E" w:rsidRPr="00345713" w:rsidRDefault="00C93924" w:rsidP="00013EEC">
      <w:r>
        <w:t>Dodatkowe prawa do korzystania</w:t>
      </w:r>
      <w:r w:rsidR="00C24B90">
        <w:t xml:space="preserve"> z wyn</w:t>
      </w:r>
      <w:r>
        <w:t>ików przez Unię można określić</w:t>
      </w:r>
      <w:r w:rsidR="00C24B90">
        <w:t xml:space="preserve"> w War</w:t>
      </w:r>
      <w:r>
        <w:t>unkach Szczegółowych.</w:t>
      </w:r>
    </w:p>
    <w:p w14:paraId="1602D568" w14:textId="77777777" w:rsidR="008B2D28" w:rsidRPr="00345713" w:rsidRDefault="00790F1E" w:rsidP="00013EEC">
      <w:r>
        <w:t>Beneficjenci muszą zapewnić Unii prawo do wykonywania wszelkich wcześniej istniejących praw, które uwzględniono</w:t>
      </w:r>
      <w:r w:rsidR="00C24B90">
        <w:t xml:space="preserve"> w wyn</w:t>
      </w:r>
      <w:r>
        <w:t>ikach działania</w:t>
      </w:r>
      <w:r w:rsidR="00C24B90">
        <w:t>. O ile</w:t>
      </w:r>
      <w:r>
        <w:t xml:space="preserve"> nie określono inaczej</w:t>
      </w:r>
      <w:r w:rsidR="00C24B90">
        <w:t xml:space="preserve"> w War</w:t>
      </w:r>
      <w:r>
        <w:t>unkach Szczegółowych, takie wcześniej istniejące prawa muszą być wykorzystywane do tych samych celów i na tych samych warunkach, jakie mają zastosowanie do praw do korzystania</w:t>
      </w:r>
      <w:r w:rsidR="00C24B90">
        <w:t xml:space="preserve"> z wyn</w:t>
      </w:r>
      <w:r>
        <w:t>ików działania.</w:t>
      </w:r>
    </w:p>
    <w:p w14:paraId="05C1ABD6" w14:textId="77777777" w:rsidR="00E37C07" w:rsidRPr="00345713" w:rsidRDefault="00DD2B74" w:rsidP="00013EEC">
      <w:r>
        <w:t>Przy ogłaszaniu wyników działania Unia musi umieścić informację na temat właściciela praw autorskich. Informacja dotycząca praw autorskich musi mieć następującą formę: „© — rok — nazwa właściciela praw autorskich. Wszelkie prawa zastrzeżone. Licencja udzielona warunkowo Unii Europejskiej.”.</w:t>
      </w:r>
    </w:p>
    <w:p w14:paraId="71E9D4EE" w14:textId="77777777" w:rsidR="00540277" w:rsidRPr="00345713" w:rsidRDefault="004F786C" w:rsidP="00013EEC">
      <w:r>
        <w:t>W przypadku gdy beneficjenci przyznają Komisji prawa do korzystania</w:t>
      </w:r>
      <w:r w:rsidR="00C24B90">
        <w:t xml:space="preserve"> z wyn</w:t>
      </w:r>
      <w:r>
        <w:t>ików, nie wpływa to na obowiązek zachowania przez Komisję poufności określony</w:t>
      </w:r>
      <w:r w:rsidR="00C24B90">
        <w:t xml:space="preserve"> w ram</w:t>
      </w:r>
      <w:r>
        <w:t>ach art. II.6 ani na obowiązki beneficjentów</w:t>
      </w:r>
      <w:r w:rsidR="00C24B90">
        <w:t xml:space="preserve"> w tym</w:t>
      </w:r>
      <w:r>
        <w:t xml:space="preserve"> zakresie określone</w:t>
      </w:r>
      <w:r w:rsidR="00C24B90">
        <w:t xml:space="preserve"> w art</w:t>
      </w:r>
      <w:r>
        <w:t>. II.2.1.</w:t>
      </w:r>
    </w:p>
    <w:p w14:paraId="329AA466" w14:textId="77777777" w:rsidR="008163AB" w:rsidRPr="00345713" w:rsidRDefault="000A4F91" w:rsidP="00013EEC">
      <w:pPr>
        <w:pStyle w:val="Nagwek2"/>
      </w:pPr>
      <w:bookmarkStart w:id="78" w:name="_Toc441250840"/>
      <w:bookmarkStart w:id="79" w:name="_Toc530496934"/>
      <w:bookmarkStart w:id="80" w:name="_Toc30764035"/>
      <w:r>
        <w:t>Artykuł II.10 – Udzielanie zamówień niezbędnych do realizacji działania</w:t>
      </w:r>
      <w:bookmarkEnd w:id="78"/>
      <w:bookmarkEnd w:id="79"/>
      <w:bookmarkEnd w:id="80"/>
    </w:p>
    <w:p w14:paraId="71A1B34B" w14:textId="77777777" w:rsidR="006B2260" w:rsidRPr="00345713" w:rsidRDefault="00E77F3F" w:rsidP="00CC3930">
      <w:pPr>
        <w:ind w:left="851" w:hanging="851"/>
      </w:pPr>
      <w:r>
        <w:rPr>
          <w:b/>
        </w:rPr>
        <w:t>II.10.1</w:t>
      </w:r>
      <w:r>
        <w:tab/>
        <w:t>W przypadku gdy realizacja działania wymaga od beneficjentów udzielenia zamówienia na towary, roboty budowlane lub usługi, mogą oni udzielić zamówienia zgodnie ze swoimi zwyczajowymi praktykami nabywczymi, pod warunkiem że zamówienia udziela się oferentowi składającemu ofertę najkorzystniejszą ekonomicznie lub –</w:t>
      </w:r>
      <w:r w:rsidR="00C24B90">
        <w:t xml:space="preserve"> w sto</w:t>
      </w:r>
      <w:r>
        <w:t>sownych przypadkach – oferentowi proponującemu najniższą cenę. Muszą przy tym unikać wszelkich konfliktów interesów.</w:t>
      </w:r>
    </w:p>
    <w:p w14:paraId="63684712" w14:textId="77777777" w:rsidR="00716612" w:rsidRPr="00345713" w:rsidRDefault="00716612" w:rsidP="00CC3930">
      <w:pPr>
        <w:ind w:left="851"/>
      </w:pPr>
      <w:r>
        <w:t>Beneficjenci muszą zapewnić Komisji, Europejskiemu Trybunałowi Obrachunkowemu oraz Europejskiemu Urzędowi ds. Zwalczania Nadużyć Finansowych (OLAF) możliwość korzystania</w:t>
      </w:r>
      <w:r w:rsidR="00C24B90">
        <w:t xml:space="preserve"> z pra</w:t>
      </w:r>
      <w:r>
        <w:t>w przysługujących im na mocy art. II.27 także wobec wykonawców beneficjentów.</w:t>
      </w:r>
    </w:p>
    <w:p w14:paraId="327B5D13" w14:textId="77777777" w:rsidR="00693775" w:rsidRPr="00693775" w:rsidRDefault="00E16A69" w:rsidP="00CC3930">
      <w:pPr>
        <w:ind w:left="851" w:hanging="851"/>
        <w:rPr>
          <w:rFonts w:eastAsia="Calibri"/>
          <w:szCs w:val="24"/>
        </w:rPr>
      </w:pPr>
      <w:r>
        <w:rPr>
          <w:b/>
        </w:rPr>
        <w:lastRenderedPageBreak/>
        <w:t>II.10.2</w:t>
      </w:r>
      <w:r>
        <w:t xml:space="preserve"> </w:t>
      </w:r>
      <w:r>
        <w:tab/>
        <w:t>Beneficjenci, którzy są „instytucjami zamawiającymi”</w:t>
      </w:r>
      <w:r w:rsidR="00C24B90">
        <w:t xml:space="preserve"> w roz</w:t>
      </w:r>
      <w:r>
        <w:t>umieniu dyrektywy 2014/24/UE</w:t>
      </w:r>
      <w:r>
        <w:rPr>
          <w:rStyle w:val="Odwoanieprzypisudolnego"/>
        </w:rPr>
        <w:footnoteReference w:id="2"/>
      </w:r>
      <w:r>
        <w:t xml:space="preserve"> lub „podmiotami zamawiającymi”</w:t>
      </w:r>
      <w:r w:rsidR="00C24B90">
        <w:t xml:space="preserve"> w roz</w:t>
      </w:r>
      <w:r>
        <w:t>umieniu dyrektywy 2014/25/UE</w:t>
      </w:r>
      <w:r>
        <w:rPr>
          <w:rStyle w:val="Odwoanieprzypisudolnego"/>
        </w:rPr>
        <w:footnoteReference w:id="3"/>
      </w:r>
      <w:r>
        <w:t xml:space="preserve">, muszą przestrzegać obowiązujących przepisów krajowych dotyczących zamówień publicznych. </w:t>
      </w:r>
    </w:p>
    <w:p w14:paraId="41AE6C15" w14:textId="77777777" w:rsidR="00A24E86" w:rsidRPr="00345713" w:rsidRDefault="00E73C1A" w:rsidP="00CC3930">
      <w:pPr>
        <w:ind w:left="851"/>
      </w:pPr>
      <w:r>
        <w:t>Beneficjenci muszą zapewnić, aby warunki, którym podlegają</w:t>
      </w:r>
      <w:r w:rsidR="00C24B90">
        <w:t xml:space="preserve"> z tyt</w:t>
      </w:r>
      <w:r>
        <w:t>ułu art. II.4, II.5, II.6 i II.9, miały również zastosowanie do wykonawców.</w:t>
      </w:r>
    </w:p>
    <w:p w14:paraId="5B7534B9" w14:textId="77777777" w:rsidR="00A24E86" w:rsidRPr="00C24B90" w:rsidRDefault="00A24E86" w:rsidP="00CC3930">
      <w:pPr>
        <w:ind w:left="851" w:hanging="851"/>
      </w:pPr>
      <w:r>
        <w:rPr>
          <w:b/>
        </w:rPr>
        <w:t>II.10.3</w:t>
      </w:r>
      <w:r>
        <w:tab/>
        <w:t xml:space="preserve">Wyłączna odpowiedzialność za realizację </w:t>
      </w:r>
      <w:r w:rsidRPr="00280936">
        <w:t xml:space="preserve">działania </w:t>
      </w:r>
      <w:r>
        <w:t>oraz przestrzeganie postanowień Umowy spoczywa na beneficjentach</w:t>
      </w:r>
      <w:r w:rsidRPr="00C24B90">
        <w:t>.</w:t>
      </w:r>
      <w:r w:rsidR="00C24B90" w:rsidRPr="00C24B90">
        <w:t xml:space="preserve"> </w:t>
      </w:r>
    </w:p>
    <w:p w14:paraId="3A7487E8" w14:textId="77777777" w:rsidR="00BA72B9" w:rsidRPr="00345713" w:rsidRDefault="00BA72B9" w:rsidP="00CC3930">
      <w:pPr>
        <w:ind w:left="851" w:hanging="851"/>
      </w:pPr>
      <w:r>
        <w:rPr>
          <w:b/>
        </w:rPr>
        <w:t>II.10.4</w:t>
      </w:r>
      <w:r>
        <w:t xml:space="preserve"> </w:t>
      </w:r>
      <w:r>
        <w:tab/>
        <w:t>W przypadku niewywiązania się przez beneficjentów</w:t>
      </w:r>
      <w:r w:rsidR="00C24B90">
        <w:t xml:space="preserve"> z ich</w:t>
      </w:r>
      <w:r>
        <w:t xml:space="preserve"> obowiązków wynikających</w:t>
      </w:r>
      <w:r w:rsidR="00C24B90">
        <w:t xml:space="preserve"> z art</w:t>
      </w:r>
      <w:r>
        <w:t>. II.10.1 koszty związane</w:t>
      </w:r>
      <w:r w:rsidR="00C24B90">
        <w:t xml:space="preserve"> z dan</w:t>
      </w:r>
      <w:r>
        <w:t>ą umową uznaje się za niekwalifikowalne zgodnie</w:t>
      </w:r>
      <w:r w:rsidR="00C24B90">
        <w:t xml:space="preserve"> z art</w:t>
      </w:r>
      <w:r>
        <w:t xml:space="preserve">. II.19.2 </w:t>
      </w:r>
      <w:r w:rsidRPr="00C24B90">
        <w:t>lit.</w:t>
      </w:r>
      <w:r w:rsidR="00C24B90" w:rsidRPr="00C24B90">
        <w:t> </w:t>
      </w:r>
      <w:r w:rsidRPr="00C24B90">
        <w:t>c)</w:t>
      </w:r>
      <w:r>
        <w:t>, d) i e).</w:t>
      </w:r>
    </w:p>
    <w:p w14:paraId="238E9BEF" w14:textId="77777777" w:rsidR="00E16A69" w:rsidRPr="00345713" w:rsidRDefault="00E16A69" w:rsidP="00CC3930">
      <w:pPr>
        <w:ind w:left="851" w:hanging="851"/>
      </w:pPr>
      <w:r>
        <w:tab/>
        <w:t>W przypadku niewywiązania się przez beneficjentów</w:t>
      </w:r>
      <w:r w:rsidR="00C24B90">
        <w:t xml:space="preserve"> z ich</w:t>
      </w:r>
      <w:r>
        <w:t xml:space="preserve"> obowiązków wynikających</w:t>
      </w:r>
      <w:r w:rsidR="00C24B90">
        <w:t xml:space="preserve"> z art</w:t>
      </w:r>
      <w:r>
        <w:t>. II.10.2 dotacja może zostać zmniejszona zgodnie</w:t>
      </w:r>
      <w:r w:rsidR="00C24B90">
        <w:t xml:space="preserve"> z art</w:t>
      </w:r>
      <w:r>
        <w:t>. II.25.4.</w:t>
      </w:r>
    </w:p>
    <w:p w14:paraId="3100F2B2" w14:textId="77777777" w:rsidR="006B2260" w:rsidRPr="00345713" w:rsidRDefault="000A4F91" w:rsidP="00013EEC">
      <w:pPr>
        <w:pStyle w:val="Nagwek2"/>
      </w:pPr>
      <w:bookmarkStart w:id="81" w:name="_Toc441250841"/>
      <w:bookmarkStart w:id="82" w:name="_Toc530496935"/>
      <w:bookmarkStart w:id="83" w:name="_Toc30764036"/>
      <w:r>
        <w:t>Artykuł II.11 – Podwykonawstwo zadań będących częścią działania</w:t>
      </w:r>
      <w:bookmarkEnd w:id="81"/>
      <w:bookmarkEnd w:id="82"/>
      <w:bookmarkEnd w:id="83"/>
    </w:p>
    <w:p w14:paraId="0C6B6C76" w14:textId="77777777" w:rsidR="006B2260" w:rsidRPr="00345713" w:rsidRDefault="006B2260" w:rsidP="00013EEC">
      <w:pPr>
        <w:ind w:left="851" w:hanging="851"/>
      </w:pPr>
      <w:r>
        <w:rPr>
          <w:b/>
        </w:rPr>
        <w:t>II.11.1</w:t>
      </w:r>
      <w:r>
        <w:tab/>
        <w:t xml:space="preserve">Beneficjenci mogą zlecić podwykonawstwo zadań będących częścią </w:t>
      </w:r>
      <w:r w:rsidRPr="00280936">
        <w:t>działania</w:t>
      </w:r>
      <w:r w:rsidR="00C24B90">
        <w:t>. W tak</w:t>
      </w:r>
      <w:r>
        <w:t>im przypadku muszą zapewnić, aby – oprócz warunków określonych</w:t>
      </w:r>
      <w:r w:rsidR="00C24B90">
        <w:t xml:space="preserve"> w art</w:t>
      </w:r>
      <w:r>
        <w:t>. II.10 – spełniono dodatkowo następujące warunki:</w:t>
      </w:r>
    </w:p>
    <w:p w14:paraId="102C9D86" w14:textId="77777777" w:rsidR="006B2260" w:rsidRPr="00345713" w:rsidRDefault="00280CCF" w:rsidP="003A2A37">
      <w:pPr>
        <w:numPr>
          <w:ilvl w:val="0"/>
          <w:numId w:val="20"/>
        </w:numPr>
        <w:ind w:left="1276" w:hanging="425"/>
      </w:pPr>
      <w:r>
        <w:t>podwykonawstwo nie obejmuje głównych zadań</w:t>
      </w:r>
      <w:r w:rsidR="00C24B90">
        <w:t xml:space="preserve"> w ram</w:t>
      </w:r>
      <w:r>
        <w:t xml:space="preserve">ach </w:t>
      </w:r>
      <w:r w:rsidRPr="00280936">
        <w:t>działania</w:t>
      </w:r>
      <w:r>
        <w:t>;</w:t>
      </w:r>
    </w:p>
    <w:p w14:paraId="1AA3C911" w14:textId="77777777" w:rsidR="006B2260" w:rsidRPr="00345713" w:rsidRDefault="006B2260" w:rsidP="003A2A37">
      <w:pPr>
        <w:numPr>
          <w:ilvl w:val="0"/>
          <w:numId w:val="20"/>
        </w:numPr>
        <w:ind w:left="1276" w:hanging="425"/>
      </w:pPr>
      <w:r>
        <w:t>korzystanie</w:t>
      </w:r>
      <w:r w:rsidR="00C24B90">
        <w:t xml:space="preserve"> z pro</w:t>
      </w:r>
      <w:r>
        <w:t xml:space="preserve">cedury podwykonawstwa musi być uzasadnione charakterem </w:t>
      </w:r>
      <w:r w:rsidRPr="00A65220">
        <w:t>działania</w:t>
      </w:r>
      <w:r>
        <w:t xml:space="preserve"> oraz tym, co jest konieczne do jego realizacji;</w:t>
      </w:r>
    </w:p>
    <w:p w14:paraId="18654B2C" w14:textId="77777777" w:rsidR="006B2260" w:rsidRPr="00345713" w:rsidRDefault="006B2260" w:rsidP="003A2A37">
      <w:pPr>
        <w:numPr>
          <w:ilvl w:val="0"/>
          <w:numId w:val="20"/>
        </w:numPr>
        <w:ind w:left="1276" w:hanging="425"/>
      </w:pPr>
      <w:r>
        <w:t>szacowane koszty podwykonawstwa można jednoznacznie zidentyfikować</w:t>
      </w:r>
      <w:r w:rsidR="00C24B90">
        <w:t xml:space="preserve"> w sza</w:t>
      </w:r>
      <w:r>
        <w:t>cowanym budżecie określonym</w:t>
      </w:r>
      <w:r w:rsidR="00C24B90">
        <w:t xml:space="preserve"> w zał</w:t>
      </w:r>
      <w:r>
        <w:t>ączniku II;</w:t>
      </w:r>
    </w:p>
    <w:p w14:paraId="0101A118" w14:textId="77777777" w:rsidR="00EA6023" w:rsidRPr="00345713" w:rsidRDefault="006B2260" w:rsidP="003A2A37">
      <w:pPr>
        <w:numPr>
          <w:ilvl w:val="0"/>
          <w:numId w:val="20"/>
        </w:numPr>
        <w:ind w:left="1276" w:hanging="425"/>
      </w:pPr>
      <w:r>
        <w:t>ewentualne korzystanie</w:t>
      </w:r>
      <w:r w:rsidR="00C24B90">
        <w:t xml:space="preserve"> z pro</w:t>
      </w:r>
      <w:r>
        <w:t>cedury podwykonawstwa,</w:t>
      </w:r>
      <w:r w:rsidR="00C24B90">
        <w:t xml:space="preserve"> o ile</w:t>
      </w:r>
      <w:r>
        <w:t xml:space="preserve"> nie jest przewidziane</w:t>
      </w:r>
      <w:r w:rsidR="00C24B90">
        <w:t xml:space="preserve"> w zał</w:t>
      </w:r>
      <w:r>
        <w:t>ączniku I</w:t>
      </w:r>
      <w:r w:rsidR="00496B83">
        <w:t>I</w:t>
      </w:r>
      <w:r>
        <w:t>, jest zgłaszane przez koordynatora</w:t>
      </w:r>
      <w:r w:rsidR="00C24B90">
        <w:t xml:space="preserve"> i zat</w:t>
      </w:r>
      <w:r>
        <w:t>wierdzane przez Komisję. Komisja może udzielić zgody:</w:t>
      </w:r>
    </w:p>
    <w:p w14:paraId="368DBB7C" w14:textId="77777777" w:rsidR="00EA6023" w:rsidRPr="00345713" w:rsidRDefault="00013EEC" w:rsidP="00013EEC">
      <w:pPr>
        <w:spacing w:after="0"/>
        <w:ind w:left="1701" w:hanging="425"/>
        <w:rPr>
          <w:szCs w:val="24"/>
        </w:rPr>
      </w:pPr>
      <w:r>
        <w:t>(i) przed skorzystaniem</w:t>
      </w:r>
      <w:r w:rsidR="00C24B90">
        <w:t xml:space="preserve"> z pro</w:t>
      </w:r>
      <w:r>
        <w:t>cedury podwykonawstwa, jeżeli beneficjenci wnioskowali</w:t>
      </w:r>
      <w:r w:rsidR="00C24B90">
        <w:t xml:space="preserve"> o zmi</w:t>
      </w:r>
      <w:r>
        <w:t>anę Umowy zgodnie</w:t>
      </w:r>
      <w:r w:rsidR="00C24B90">
        <w:t xml:space="preserve"> z art</w:t>
      </w:r>
      <w:r>
        <w:t xml:space="preserve">. II.13; lub </w:t>
      </w:r>
    </w:p>
    <w:p w14:paraId="765E4C80" w14:textId="77777777" w:rsidR="00116A49" w:rsidRPr="00345713" w:rsidRDefault="00EA6023" w:rsidP="00013EEC">
      <w:pPr>
        <w:spacing w:after="0"/>
        <w:ind w:left="1701" w:hanging="425"/>
        <w:rPr>
          <w:szCs w:val="24"/>
        </w:rPr>
      </w:pPr>
      <w:r>
        <w:t>(ii) po skorzystaniu</w:t>
      </w:r>
      <w:r w:rsidR="00C24B90">
        <w:t xml:space="preserve"> z pro</w:t>
      </w:r>
      <w:r>
        <w:t>cedury podwykonawstwa, jeżeli podwykonawstwo:</w:t>
      </w:r>
    </w:p>
    <w:p w14:paraId="1AA9C89B" w14:textId="77777777" w:rsidR="00116A49" w:rsidRPr="006F39A5" w:rsidRDefault="00F26FB0" w:rsidP="003A2A37">
      <w:pPr>
        <w:pStyle w:val="Akapitzlist"/>
        <w:numPr>
          <w:ilvl w:val="0"/>
          <w:numId w:val="78"/>
        </w:numPr>
        <w:spacing w:after="0"/>
        <w:rPr>
          <w:szCs w:val="24"/>
        </w:rPr>
      </w:pPr>
      <w:r>
        <w:lastRenderedPageBreak/>
        <w:t>jest szczegółowo uzasadnione</w:t>
      </w:r>
      <w:r w:rsidR="00C24B90">
        <w:t xml:space="preserve"> w spr</w:t>
      </w:r>
      <w:r>
        <w:t>awozdaniu okresowym lub</w:t>
      </w:r>
      <w:r w:rsidR="00C24B90">
        <w:t xml:space="preserve"> w koń</w:t>
      </w:r>
      <w:r>
        <w:t>cowym raporcie merytorycznym,</w:t>
      </w:r>
      <w:r w:rsidR="00C24B90">
        <w:t xml:space="preserve"> o któ</w:t>
      </w:r>
      <w:r>
        <w:t>rym mowa</w:t>
      </w:r>
      <w:r w:rsidR="00C24B90">
        <w:t xml:space="preserve"> w art</w:t>
      </w:r>
      <w:r>
        <w:t>. I.4.3 i I.4.4; oraz</w:t>
      </w:r>
    </w:p>
    <w:p w14:paraId="7E81B0C1" w14:textId="77777777" w:rsidR="006B2260" w:rsidRPr="0013684E" w:rsidRDefault="00116A49" w:rsidP="003A2A37">
      <w:pPr>
        <w:pStyle w:val="Akapitzlist"/>
        <w:numPr>
          <w:ilvl w:val="0"/>
          <w:numId w:val="78"/>
        </w:numPr>
        <w:spacing w:after="0"/>
        <w:rPr>
          <w:szCs w:val="24"/>
        </w:rPr>
      </w:pPr>
      <w:r>
        <w:t>nie wiąże się ze zmianami Umowy, które podważałyby decyzję</w:t>
      </w:r>
      <w:r w:rsidR="00C24B90">
        <w:t xml:space="preserve"> o prz</w:t>
      </w:r>
      <w:r>
        <w:t>yznaniu dotacji lub byłyby sprzeczne</w:t>
      </w:r>
      <w:r w:rsidR="00C24B90">
        <w:t xml:space="preserve"> z zas</w:t>
      </w:r>
      <w:r>
        <w:t>adą równego traktowania wnioskodawców;</w:t>
      </w:r>
    </w:p>
    <w:p w14:paraId="5066E322" w14:textId="77777777" w:rsidR="006B2260" w:rsidRPr="00345713" w:rsidRDefault="006B2260" w:rsidP="003A2A37">
      <w:pPr>
        <w:numPr>
          <w:ilvl w:val="0"/>
          <w:numId w:val="20"/>
        </w:numPr>
        <w:ind w:left="1276" w:hanging="425"/>
      </w:pPr>
      <w:r>
        <w:t>beneficjenci zapewniają, aby warunki, którym podlegają</w:t>
      </w:r>
      <w:r w:rsidR="00C24B90">
        <w:t xml:space="preserve"> z tyt</w:t>
      </w:r>
      <w:r>
        <w:t>ułu art. II.8, były stosowane również wobec podwykonawców.</w:t>
      </w:r>
    </w:p>
    <w:p w14:paraId="1624757B" w14:textId="77777777" w:rsidR="00164C8F" w:rsidRPr="00C24B90" w:rsidRDefault="00A41370" w:rsidP="00164C8F">
      <w:pPr>
        <w:adjustRightInd w:val="0"/>
        <w:spacing w:after="0"/>
        <w:ind w:left="709" w:hanging="709"/>
        <w:rPr>
          <w:szCs w:val="24"/>
        </w:rPr>
      </w:pPr>
      <w:r>
        <w:rPr>
          <w:b/>
        </w:rPr>
        <w:t>II.11.2</w:t>
      </w:r>
      <w:r>
        <w:t xml:space="preserve"> W przypadku niewywiązania się przez beneficjentów</w:t>
      </w:r>
      <w:r w:rsidR="00C24B90">
        <w:t xml:space="preserve"> z ich</w:t>
      </w:r>
      <w:r>
        <w:t xml:space="preserve"> obowiązków wynikających</w:t>
      </w:r>
      <w:r w:rsidR="00C24B90">
        <w:t xml:space="preserve"> z art</w:t>
      </w:r>
      <w:r>
        <w:t xml:space="preserve">. II.11.1 </w:t>
      </w:r>
      <w:r w:rsidRPr="00C24B90">
        <w:t>lit.</w:t>
      </w:r>
      <w:r w:rsidR="00C24B90" w:rsidRPr="00C24B90">
        <w:t> </w:t>
      </w:r>
      <w:r w:rsidRPr="00C24B90">
        <w:t>a)</w:t>
      </w:r>
      <w:r>
        <w:t>, b), c) lub d) koszty związane</w:t>
      </w:r>
      <w:r w:rsidR="00C24B90">
        <w:t xml:space="preserve"> z dan</w:t>
      </w:r>
      <w:r>
        <w:t>ym zamówieniem uznaje się za niekwalifikowalne zgodnie</w:t>
      </w:r>
      <w:r w:rsidR="00C24B90">
        <w:t xml:space="preserve"> z art</w:t>
      </w:r>
      <w:r>
        <w:t xml:space="preserve">. II.19.2 </w:t>
      </w:r>
      <w:r w:rsidRPr="00C24B90">
        <w:t>lit.</w:t>
      </w:r>
      <w:r w:rsidR="00C24B90" w:rsidRPr="00C24B90">
        <w:t> </w:t>
      </w:r>
      <w:r w:rsidRPr="00C24B90">
        <w:t>f).</w:t>
      </w:r>
      <w:r w:rsidR="00C24B90" w:rsidRPr="00C24B90">
        <w:t xml:space="preserve"> </w:t>
      </w:r>
    </w:p>
    <w:p w14:paraId="0FBBB944" w14:textId="77777777" w:rsidR="00230DDE" w:rsidRPr="00345713" w:rsidRDefault="00230DDE" w:rsidP="00230DDE">
      <w:pPr>
        <w:adjustRightInd w:val="0"/>
        <w:spacing w:after="0"/>
        <w:ind w:left="709"/>
        <w:rPr>
          <w:szCs w:val="24"/>
        </w:rPr>
      </w:pPr>
      <w:r>
        <w:t>W przypadku niewywiązania się przez beneficjentów</w:t>
      </w:r>
      <w:r w:rsidR="00C24B90">
        <w:t xml:space="preserve"> z ich</w:t>
      </w:r>
      <w:r>
        <w:t xml:space="preserve"> obowiązku wynikającego</w:t>
      </w:r>
      <w:r w:rsidR="00C24B90">
        <w:t xml:space="preserve"> z art</w:t>
      </w:r>
      <w:r>
        <w:t xml:space="preserve">. II.11.1 </w:t>
      </w:r>
      <w:r w:rsidRPr="00C24B90">
        <w:t>lit.</w:t>
      </w:r>
      <w:r w:rsidR="00C24B90" w:rsidRPr="00C24B90">
        <w:t> </w:t>
      </w:r>
      <w:r w:rsidRPr="00C24B90">
        <w:t>e)</w:t>
      </w:r>
      <w:r>
        <w:t xml:space="preserve"> dotacja może zostać zmniejszona zgodnie</w:t>
      </w:r>
      <w:r w:rsidR="00C24B90">
        <w:t xml:space="preserve"> z art</w:t>
      </w:r>
      <w:r>
        <w:t>. II.25.4.</w:t>
      </w:r>
    </w:p>
    <w:p w14:paraId="2FBF276B" w14:textId="77777777" w:rsidR="005B4282" w:rsidRPr="00345713" w:rsidRDefault="000A4F91" w:rsidP="00013EEC">
      <w:pPr>
        <w:pStyle w:val="Nagwek2"/>
      </w:pPr>
      <w:bookmarkStart w:id="84" w:name="_Toc441250842"/>
      <w:bookmarkStart w:id="85" w:name="_Toc530496936"/>
      <w:bookmarkStart w:id="86" w:name="_Toc30764037"/>
      <w:r>
        <w:t>Artykuł II.12 – Wsparcie finansowe na rzecz osób trzecich</w:t>
      </w:r>
      <w:bookmarkEnd w:id="84"/>
      <w:bookmarkEnd w:id="85"/>
      <w:bookmarkEnd w:id="86"/>
    </w:p>
    <w:p w14:paraId="5357F2CF" w14:textId="77777777" w:rsidR="00BA3D6C" w:rsidRPr="00345713" w:rsidRDefault="000243AE" w:rsidP="00013EEC">
      <w:pPr>
        <w:ind w:left="851" w:hanging="851"/>
      </w:pPr>
      <w:r>
        <w:rPr>
          <w:b/>
        </w:rPr>
        <w:t>II.12.1</w:t>
      </w:r>
      <w:r>
        <w:tab/>
        <w:t>Jeżeli podczas realizacji działania beneficjenci są zobowiązani do udzielenia wsparcia finansowego osobom trzecim, mogą oni udzielić takiego wsparcia finansowego zgodnie</w:t>
      </w:r>
      <w:r w:rsidR="00C24B90">
        <w:t xml:space="preserve"> z war</w:t>
      </w:r>
      <w:r>
        <w:t>unkami określonymi</w:t>
      </w:r>
      <w:r w:rsidR="00C24B90">
        <w:t xml:space="preserve"> w zał</w:t>
      </w:r>
      <w:r>
        <w:t>ączniku I</w:t>
      </w:r>
      <w:r w:rsidR="00496B83">
        <w:t>I</w:t>
      </w:r>
      <w:r>
        <w:t>. Zgodnie</w:t>
      </w:r>
      <w:r w:rsidR="00C24B90">
        <w:t xml:space="preserve"> z tym</w:t>
      </w:r>
      <w:r>
        <w:t>i warunkami należy podać co najmniej następujące informacje:</w:t>
      </w:r>
    </w:p>
    <w:p w14:paraId="700ADF37" w14:textId="77777777" w:rsidR="00E078FE" w:rsidRPr="00345713" w:rsidRDefault="00E078FE" w:rsidP="003A2A37">
      <w:pPr>
        <w:numPr>
          <w:ilvl w:val="0"/>
          <w:numId w:val="21"/>
        </w:numPr>
        <w:ind w:left="1276" w:hanging="425"/>
      </w:pPr>
      <w:r>
        <w:t>maksymalną kwotę wsparcia finansowego. Kwota ta nie może przekraczać 60 000 EUR dla każdej osoby trzeciej,</w:t>
      </w:r>
      <w:r w:rsidR="00C24B90">
        <w:t xml:space="preserve"> z wyj</w:t>
      </w:r>
      <w:r>
        <w:t>ątkiem przypadków, gdy osiągnięcie celu działania określonego</w:t>
      </w:r>
      <w:r w:rsidR="00C24B90">
        <w:t xml:space="preserve"> w zał</w:t>
      </w:r>
      <w:r>
        <w:t>ączniku I</w:t>
      </w:r>
      <w:r w:rsidR="00496B83">
        <w:t>I</w:t>
      </w:r>
      <w:r>
        <w:t xml:space="preserve"> byłoby</w:t>
      </w:r>
      <w:r w:rsidR="00C24B90">
        <w:t xml:space="preserve"> w prz</w:t>
      </w:r>
      <w:r>
        <w:t>eciwnym razie niemożliwe lub nadmiernie trudne;</w:t>
      </w:r>
    </w:p>
    <w:p w14:paraId="6C223006" w14:textId="77777777" w:rsidR="00E078FE" w:rsidRPr="00345713" w:rsidRDefault="00E078FE" w:rsidP="003A2A37">
      <w:pPr>
        <w:numPr>
          <w:ilvl w:val="0"/>
          <w:numId w:val="21"/>
        </w:numPr>
        <w:ind w:left="1276" w:hanging="425"/>
      </w:pPr>
      <w:r>
        <w:t>kryteria ustalania dokładnej kwoty wsparcia finansowego;</w:t>
      </w:r>
    </w:p>
    <w:p w14:paraId="76993782" w14:textId="77777777" w:rsidR="00E078FE" w:rsidRPr="00345713" w:rsidRDefault="00E078FE" w:rsidP="003A2A37">
      <w:pPr>
        <w:numPr>
          <w:ilvl w:val="0"/>
          <w:numId w:val="21"/>
        </w:numPr>
        <w:ind w:left="1276" w:hanging="425"/>
      </w:pPr>
      <w:r>
        <w:t>różne rodzaje działalności, na które można przyznać wsparcie finansowe, na podstawie wyczerpującego wykazu;</w:t>
      </w:r>
    </w:p>
    <w:p w14:paraId="6EF374A1" w14:textId="77777777" w:rsidR="00E078FE" w:rsidRPr="00345713" w:rsidRDefault="00E078FE" w:rsidP="003A2A37">
      <w:pPr>
        <w:numPr>
          <w:ilvl w:val="0"/>
          <w:numId w:val="21"/>
        </w:numPr>
        <w:ind w:left="1276" w:hanging="425"/>
      </w:pPr>
      <w:r>
        <w:t>osoby lub kategorie osób, które mogą otrzymać wsparcie finansowe;</w:t>
      </w:r>
    </w:p>
    <w:p w14:paraId="0CCE2ED1" w14:textId="77777777" w:rsidR="00CC12B6" w:rsidRPr="00345713" w:rsidRDefault="00CC12B6" w:rsidP="003A2A37">
      <w:pPr>
        <w:numPr>
          <w:ilvl w:val="0"/>
          <w:numId w:val="21"/>
        </w:numPr>
        <w:ind w:left="1276" w:hanging="425"/>
      </w:pPr>
      <w:r>
        <w:t>kryteria udzielania wsparcia finansowego.</w:t>
      </w:r>
    </w:p>
    <w:p w14:paraId="5CE6B1CF" w14:textId="77777777" w:rsidR="00F0474F" w:rsidRPr="00345713" w:rsidRDefault="00F0474F" w:rsidP="00013EEC">
      <w:pPr>
        <w:ind w:left="851" w:hanging="851"/>
      </w:pPr>
      <w:r>
        <w:rPr>
          <w:b/>
        </w:rPr>
        <w:t>II.12.2</w:t>
      </w:r>
      <w:r>
        <w:tab/>
        <w:t>W drodze odstępstwa od postanowień art. II.12.1,</w:t>
      </w:r>
      <w:r w:rsidR="00C24B90">
        <w:t xml:space="preserve"> w prz</w:t>
      </w:r>
      <w:r>
        <w:t>ypadku gdy wsparcie finansowe przyjmuje formę nagrody, beneficjenci muszą udzielić takiego wsparcia finansowego zgodnie</w:t>
      </w:r>
      <w:r w:rsidR="00C24B90">
        <w:t xml:space="preserve"> z war</w:t>
      </w:r>
      <w:r>
        <w:t>unkami określonymi</w:t>
      </w:r>
      <w:r w:rsidR="00C24B90">
        <w:t xml:space="preserve"> w zał</w:t>
      </w:r>
      <w:r>
        <w:t>ączniku I</w:t>
      </w:r>
      <w:r w:rsidR="00496B83">
        <w:t>I</w:t>
      </w:r>
      <w:r>
        <w:t>. Zgodnie</w:t>
      </w:r>
      <w:r w:rsidR="00C24B90">
        <w:t xml:space="preserve"> z tym</w:t>
      </w:r>
      <w:r>
        <w:t>i warunkami należy podać co najmniej następujące informacje:</w:t>
      </w:r>
    </w:p>
    <w:p w14:paraId="194040A5" w14:textId="77777777" w:rsidR="0025073B" w:rsidRDefault="00C039E1" w:rsidP="00696E62">
      <w:pPr>
        <w:tabs>
          <w:tab w:val="left" w:pos="1276"/>
        </w:tabs>
        <w:adjustRightInd w:val="0"/>
        <w:spacing w:after="0"/>
        <w:ind w:left="1276" w:hanging="425"/>
        <w:rPr>
          <w:szCs w:val="24"/>
        </w:rPr>
      </w:pPr>
      <w:r>
        <w:t>a)</w:t>
      </w:r>
      <w:r>
        <w:tab/>
        <w:t>kryteria kwalifikowalności</w:t>
      </w:r>
      <w:r w:rsidR="00C24B90">
        <w:t xml:space="preserve"> i prz</w:t>
      </w:r>
      <w:r>
        <w:t>yznania nagrody;</w:t>
      </w:r>
    </w:p>
    <w:p w14:paraId="50FCC9BD" w14:textId="77777777" w:rsidR="00F0474F" w:rsidRPr="00345713" w:rsidRDefault="005B4282" w:rsidP="00696E62">
      <w:pPr>
        <w:tabs>
          <w:tab w:val="left" w:pos="1276"/>
        </w:tabs>
        <w:adjustRightInd w:val="0"/>
        <w:spacing w:after="0"/>
        <w:ind w:left="1276" w:hanging="425"/>
        <w:rPr>
          <w:szCs w:val="24"/>
        </w:rPr>
      </w:pPr>
      <w:r>
        <w:t xml:space="preserve">b) </w:t>
      </w:r>
      <w:r>
        <w:tab/>
        <w:t>kwotę nagrody;</w:t>
      </w:r>
    </w:p>
    <w:p w14:paraId="0CD442A9" w14:textId="77777777" w:rsidR="00F0474F" w:rsidRPr="00345713" w:rsidRDefault="005B4282" w:rsidP="00696E62">
      <w:pPr>
        <w:tabs>
          <w:tab w:val="left" w:pos="1276"/>
        </w:tabs>
        <w:adjustRightInd w:val="0"/>
        <w:spacing w:after="0"/>
        <w:ind w:left="1276" w:hanging="425"/>
        <w:rPr>
          <w:szCs w:val="24"/>
        </w:rPr>
      </w:pPr>
      <w:r>
        <w:t xml:space="preserve">c) </w:t>
      </w:r>
      <w:r>
        <w:tab/>
        <w:t>ustalenia dotyczące płatności.</w:t>
      </w:r>
    </w:p>
    <w:p w14:paraId="460E0F8E" w14:textId="77777777" w:rsidR="00CE51BC" w:rsidRPr="00345713" w:rsidRDefault="000243AE" w:rsidP="00013EEC">
      <w:pPr>
        <w:ind w:left="851" w:hanging="851"/>
      </w:pPr>
      <w:r>
        <w:rPr>
          <w:b/>
        </w:rPr>
        <w:t>II.12.3</w:t>
      </w:r>
      <w:r>
        <w:tab/>
        <w:t>Beneficjenci muszą zapewnić, aby warunki, którym podlegają</w:t>
      </w:r>
      <w:r w:rsidR="00C24B90">
        <w:t xml:space="preserve"> z tyt</w:t>
      </w:r>
      <w:r>
        <w:t>ułu art. II.4, II.5, II.6, II.8, II.9 oraz art. II.27, miały również zastosowanie do osób trzecich otrzymujących pomoc finansową.</w:t>
      </w:r>
    </w:p>
    <w:p w14:paraId="2477A356" w14:textId="77777777" w:rsidR="00103C71" w:rsidRPr="00345713" w:rsidRDefault="000A4F91" w:rsidP="00013EEC">
      <w:pPr>
        <w:pStyle w:val="Nagwek2"/>
      </w:pPr>
      <w:bookmarkStart w:id="87" w:name="_Toc97092427"/>
      <w:bookmarkStart w:id="88" w:name="_Toc441250843"/>
      <w:bookmarkStart w:id="89" w:name="_Toc530496937"/>
      <w:bookmarkStart w:id="90" w:name="_Toc30764038"/>
      <w:r>
        <w:t xml:space="preserve">Artykuł II.13 – </w:t>
      </w:r>
      <w:bookmarkEnd w:id="87"/>
      <w:r>
        <w:t>Zmiany Umowy</w:t>
      </w:r>
      <w:bookmarkEnd w:id="88"/>
      <w:bookmarkEnd w:id="89"/>
      <w:bookmarkEnd w:id="90"/>
    </w:p>
    <w:p w14:paraId="1CC1F189" w14:textId="77777777" w:rsidR="00103C71" w:rsidRPr="00345713" w:rsidRDefault="000243AE" w:rsidP="00013EEC">
      <w:pPr>
        <w:ind w:left="851" w:hanging="851"/>
      </w:pPr>
      <w:r>
        <w:rPr>
          <w:b/>
        </w:rPr>
        <w:lastRenderedPageBreak/>
        <w:t>II.13.1</w:t>
      </w:r>
      <w:r>
        <w:tab/>
        <w:t>Wszelkich zmian Umowy należy dokonywać na piśmie.</w:t>
      </w:r>
    </w:p>
    <w:p w14:paraId="575BDFB2" w14:textId="77777777" w:rsidR="00103C71" w:rsidRPr="00345713" w:rsidRDefault="00103C71" w:rsidP="00013EEC">
      <w:pPr>
        <w:ind w:left="851" w:hanging="851"/>
      </w:pPr>
      <w:r>
        <w:rPr>
          <w:b/>
        </w:rPr>
        <w:t>II.13.2</w:t>
      </w:r>
      <w:r>
        <w:tab/>
        <w:t>Celem lub skutkiem zmiany nie może być dokonywanie</w:t>
      </w:r>
      <w:r w:rsidR="00C24B90">
        <w:t xml:space="preserve"> w Umo</w:t>
      </w:r>
      <w:r>
        <w:t>wie zmian, które podważałyby decyzję</w:t>
      </w:r>
      <w:r w:rsidR="00C24B90">
        <w:t xml:space="preserve"> o prz</w:t>
      </w:r>
      <w:r>
        <w:t>yznaniu dotacji lub byłyby sprzeczne</w:t>
      </w:r>
      <w:r w:rsidR="00C24B90">
        <w:t xml:space="preserve"> z zas</w:t>
      </w:r>
      <w:r>
        <w:t>adą równego traktowania wnioskodawców.</w:t>
      </w:r>
    </w:p>
    <w:p w14:paraId="7AA1A214" w14:textId="77777777" w:rsidR="00905642" w:rsidRPr="00345713" w:rsidRDefault="000243AE" w:rsidP="00013EEC">
      <w:pPr>
        <w:ind w:left="851" w:hanging="851"/>
      </w:pPr>
      <w:r>
        <w:rPr>
          <w:b/>
        </w:rPr>
        <w:t>II.13.3</w:t>
      </w:r>
      <w:r>
        <w:tab/>
        <w:t>Wszelkie wnioski</w:t>
      </w:r>
      <w:r w:rsidR="00C24B90">
        <w:t xml:space="preserve"> o zmi</w:t>
      </w:r>
      <w:r>
        <w:t>anę Umowy muszą być:</w:t>
      </w:r>
    </w:p>
    <w:p w14:paraId="25D3C11E" w14:textId="77777777" w:rsidR="001C5EDA" w:rsidRPr="00345713" w:rsidRDefault="00103C71" w:rsidP="003A2A37">
      <w:pPr>
        <w:numPr>
          <w:ilvl w:val="0"/>
          <w:numId w:val="22"/>
        </w:numPr>
      </w:pPr>
      <w:r>
        <w:t>należycie uzasadnione;</w:t>
      </w:r>
    </w:p>
    <w:p w14:paraId="47A46C72" w14:textId="77777777" w:rsidR="00905642" w:rsidRPr="00345713" w:rsidRDefault="001C5EDA" w:rsidP="003A2A37">
      <w:pPr>
        <w:numPr>
          <w:ilvl w:val="0"/>
          <w:numId w:val="22"/>
        </w:numPr>
      </w:pPr>
      <w:r>
        <w:t>poparte odpowiednimi dokumentami potwierdzającymi; oraz</w:t>
      </w:r>
    </w:p>
    <w:p w14:paraId="09E1355F" w14:textId="77777777" w:rsidR="00905642" w:rsidRPr="00345713" w:rsidRDefault="00103C71" w:rsidP="003A2A37">
      <w:pPr>
        <w:numPr>
          <w:ilvl w:val="0"/>
          <w:numId w:val="22"/>
        </w:numPr>
      </w:pPr>
      <w:r>
        <w:t>przesłane drugiej stronie</w:t>
      </w:r>
      <w:r w:rsidR="00C24B90">
        <w:t xml:space="preserve"> z odp</w:t>
      </w:r>
      <w:r>
        <w:t>owiednim wyprzedzeniem</w:t>
      </w:r>
      <w:r w:rsidR="00C24B90">
        <w:t xml:space="preserve"> w sto</w:t>
      </w:r>
      <w:r>
        <w:t>sunku do terminu wejścia</w:t>
      </w:r>
      <w:r w:rsidR="00C24B90">
        <w:t xml:space="preserve"> w życ</w:t>
      </w:r>
      <w:r>
        <w:t>ie proponowanych zmian,</w:t>
      </w:r>
      <w:r w:rsidR="00C24B90">
        <w:t xml:space="preserve"> a w każ</w:t>
      </w:r>
      <w:r>
        <w:t>dym przypadku na miesiąc przed końcem okresu realizacji.</w:t>
      </w:r>
    </w:p>
    <w:p w14:paraId="1FC93CD4" w14:textId="77777777" w:rsidR="00103C71" w:rsidRPr="00345713" w:rsidRDefault="00BD0454" w:rsidP="00A6537C">
      <w:pPr>
        <w:ind w:left="720"/>
      </w:pPr>
      <w:r>
        <w:t xml:space="preserve">Postanowienia </w:t>
      </w:r>
      <w:r w:rsidRPr="00C24B90">
        <w:t>lit.</w:t>
      </w:r>
      <w:r w:rsidR="00C24B90" w:rsidRPr="00C24B90">
        <w:t> </w:t>
      </w:r>
      <w:r w:rsidRPr="00C24B90">
        <w:t>c)</w:t>
      </w:r>
      <w:r>
        <w:t xml:space="preserve"> nie mają zastosowania</w:t>
      </w:r>
      <w:r w:rsidR="00C24B90">
        <w:t xml:space="preserve"> w prz</w:t>
      </w:r>
      <w:r>
        <w:t>ypadkach należycie uzasadnionych przez stronę wnioskującą</w:t>
      </w:r>
      <w:r w:rsidR="00C24B90">
        <w:t xml:space="preserve"> o zmi</w:t>
      </w:r>
      <w:r>
        <w:t>anę, jeżeli druga strona wyrazi na to zgodę.</w:t>
      </w:r>
    </w:p>
    <w:p w14:paraId="062F5727" w14:textId="77777777" w:rsidR="00103C71" w:rsidRPr="00345713" w:rsidRDefault="000243AE" w:rsidP="00013EEC">
      <w:pPr>
        <w:ind w:left="851" w:hanging="851"/>
      </w:pPr>
      <w:r>
        <w:rPr>
          <w:b/>
        </w:rPr>
        <w:t>II.13.4</w:t>
      </w:r>
      <w:r>
        <w:tab/>
        <w:t>Wniosek beneficjenta</w:t>
      </w:r>
      <w:r w:rsidR="00C24B90">
        <w:t xml:space="preserve"> o zmi</w:t>
      </w:r>
      <w:r>
        <w:t>anę Umowy składa</w:t>
      </w:r>
      <w:r w:rsidR="00C24B90">
        <w:t xml:space="preserve"> w jeg</w:t>
      </w:r>
      <w:r>
        <w:t>o imieniu koordynator. Jeżeli wniosek</w:t>
      </w:r>
      <w:r w:rsidR="00C24B90">
        <w:t xml:space="preserve"> o zmi</w:t>
      </w:r>
      <w:r>
        <w:t>anę koordynatora jest składany bez porozumienia</w:t>
      </w:r>
      <w:r w:rsidR="00C24B90">
        <w:t xml:space="preserve"> z nim</w:t>
      </w:r>
      <w:r>
        <w:t>, muszą go złożyć wszyscy pozostali beneficjenci</w:t>
      </w:r>
      <w:r w:rsidR="00C24B90">
        <w:t xml:space="preserve"> i mus</w:t>
      </w:r>
      <w:r>
        <w:t>zą dołączyć do niego opinię koordynatora lub dowód na to, że</w:t>
      </w:r>
      <w:r w:rsidR="00C24B90">
        <w:t xml:space="preserve"> o tak</w:t>
      </w:r>
      <w:r>
        <w:t>ą opinię zwrócono się na piśmie.</w:t>
      </w:r>
    </w:p>
    <w:p w14:paraId="612F273E" w14:textId="77777777" w:rsidR="00196313" w:rsidRPr="00345713" w:rsidRDefault="00103C71" w:rsidP="00013EEC">
      <w:pPr>
        <w:ind w:left="851" w:hanging="851"/>
      </w:pPr>
      <w:r>
        <w:rPr>
          <w:b/>
        </w:rPr>
        <w:t>II.13.5</w:t>
      </w:r>
      <w:r>
        <w:tab/>
        <w:t>Zmiany wchodzą</w:t>
      </w:r>
      <w:r w:rsidR="00C24B90">
        <w:t xml:space="preserve"> w życ</w:t>
      </w:r>
      <w:r>
        <w:t>ie</w:t>
      </w:r>
      <w:r w:rsidR="00C24B90">
        <w:t xml:space="preserve"> w dni</w:t>
      </w:r>
      <w:r>
        <w:t>u podpisania ich przez ostatnią ze stron lub</w:t>
      </w:r>
      <w:r w:rsidR="00C24B90">
        <w:t xml:space="preserve"> w dni</w:t>
      </w:r>
      <w:r>
        <w:t>u zatwierdzenia wniosku</w:t>
      </w:r>
      <w:r w:rsidR="00C24B90">
        <w:t xml:space="preserve"> o zmi</w:t>
      </w:r>
      <w:r>
        <w:t>anę.</w:t>
      </w:r>
    </w:p>
    <w:p w14:paraId="69015894" w14:textId="77777777" w:rsidR="00CF2EF0" w:rsidRPr="00345713" w:rsidRDefault="006541B7" w:rsidP="00013EEC">
      <w:pPr>
        <w:ind w:left="851"/>
        <w:rPr>
          <w:szCs w:val="24"/>
        </w:rPr>
      </w:pPr>
      <w:r>
        <w:t>Zmiany zaczynają obowiązywać</w:t>
      </w:r>
      <w:r w:rsidR="00C24B90">
        <w:t xml:space="preserve"> w dni</w:t>
      </w:r>
      <w:r>
        <w:t>u ustalonym przez strony lub, jeżeli brak jest ustalonej daty,</w:t>
      </w:r>
      <w:r w:rsidR="00C24B90">
        <w:t xml:space="preserve"> w dni</w:t>
      </w:r>
      <w:r>
        <w:t>u wejścia</w:t>
      </w:r>
      <w:r w:rsidR="00C24B90">
        <w:t xml:space="preserve"> w życ</w:t>
      </w:r>
      <w:r>
        <w:t>ie zmiany.</w:t>
      </w:r>
    </w:p>
    <w:p w14:paraId="73B0048C" w14:textId="77777777" w:rsidR="00CF2EF0" w:rsidRPr="00345713" w:rsidRDefault="000A4F91" w:rsidP="000669D7">
      <w:pPr>
        <w:pStyle w:val="Nagwek2"/>
      </w:pPr>
      <w:bookmarkStart w:id="91" w:name="_Toc441250844"/>
      <w:bookmarkStart w:id="92" w:name="_Toc530496938"/>
      <w:bookmarkStart w:id="93" w:name="_Toc30764039"/>
      <w:r>
        <w:t>Artykuł II.14 – Przeniesienie roszczeń</w:t>
      </w:r>
      <w:r w:rsidR="00C24B90">
        <w:t xml:space="preserve"> o pła</w:t>
      </w:r>
      <w:r>
        <w:t>tność na osoby trzecie</w:t>
      </w:r>
      <w:bookmarkEnd w:id="91"/>
      <w:bookmarkEnd w:id="92"/>
      <w:bookmarkEnd w:id="93"/>
    </w:p>
    <w:p w14:paraId="42AB6672" w14:textId="77777777" w:rsidR="006B5C25" w:rsidRPr="00345713" w:rsidRDefault="00CF2EF0" w:rsidP="000669D7">
      <w:pPr>
        <w:ind w:left="851" w:hanging="851"/>
      </w:pPr>
      <w:r>
        <w:rPr>
          <w:b/>
        </w:rPr>
        <w:t>II.14.1</w:t>
      </w:r>
      <w:r>
        <w:tab/>
        <w:t>Beneficjentom nie przysługuje prawo do przeniesienia ich roszczeń</w:t>
      </w:r>
      <w:r w:rsidR="00C24B90">
        <w:t xml:space="preserve"> o pła</w:t>
      </w:r>
      <w:r>
        <w:t>tność ze środków Komisji na osoby trzecie, chyba że Komisja wyrazi na to zgodę</w:t>
      </w:r>
      <w:r w:rsidR="00C24B90">
        <w:t xml:space="preserve"> w odp</w:t>
      </w:r>
      <w:r>
        <w:t>owiedzi na pisemny wniosek</w:t>
      </w:r>
      <w:r w:rsidR="00C24B90">
        <w:t xml:space="preserve"> z uza</w:t>
      </w:r>
      <w:r>
        <w:t>sadnieniem złożony przez koordynatora</w:t>
      </w:r>
      <w:r w:rsidR="00C24B90">
        <w:t xml:space="preserve"> w imi</w:t>
      </w:r>
      <w:r>
        <w:t>eniu beneficjentów.</w:t>
      </w:r>
    </w:p>
    <w:p w14:paraId="4485F95B" w14:textId="77777777" w:rsidR="006B5C25" w:rsidRPr="00345713" w:rsidRDefault="006B5C25" w:rsidP="000669D7">
      <w:pPr>
        <w:ind w:left="851"/>
      </w:pPr>
      <w:r>
        <w:t>Jeżeli Komisja nie zgadza się na takie przeniesienie lub jeżeli nie spełniono warunków przeniesienia, wówczas przeniesienie nie wywiera na nią wpływu.</w:t>
      </w:r>
    </w:p>
    <w:p w14:paraId="62BBFF02" w14:textId="77777777" w:rsidR="00CF2EF0" w:rsidRPr="00345713" w:rsidRDefault="009B606A" w:rsidP="000669D7">
      <w:pPr>
        <w:ind w:left="851" w:hanging="851"/>
      </w:pPr>
      <w:r>
        <w:rPr>
          <w:b/>
        </w:rPr>
        <w:t>II.14.2</w:t>
      </w:r>
      <w:r>
        <w:tab/>
        <w:t>Przeniesienie roszczeń</w:t>
      </w:r>
      <w:r w:rsidR="00C24B90">
        <w:t xml:space="preserve"> o pła</w:t>
      </w:r>
      <w:r>
        <w:t>tność</w:t>
      </w:r>
      <w:r w:rsidR="00C24B90">
        <w:t xml:space="preserve"> w żad</w:t>
      </w:r>
      <w:r>
        <w:t>nym przypadku nie zwalnia beneficjentów</w:t>
      </w:r>
      <w:r w:rsidR="00C24B90">
        <w:t xml:space="preserve"> z cią</w:t>
      </w:r>
      <w:r>
        <w:t>żących na nich obowiązków wobec Komisji.</w:t>
      </w:r>
    </w:p>
    <w:p w14:paraId="6132DF98" w14:textId="77777777" w:rsidR="009E4F95" w:rsidRPr="00345713" w:rsidRDefault="000A4F91" w:rsidP="000669D7">
      <w:pPr>
        <w:pStyle w:val="Nagwek2"/>
      </w:pPr>
      <w:bookmarkStart w:id="94" w:name="_Toc97092422"/>
      <w:bookmarkStart w:id="95" w:name="_Toc441250845"/>
      <w:bookmarkStart w:id="96" w:name="_Toc530496939"/>
      <w:bookmarkStart w:id="97" w:name="_Toc30764040"/>
      <w:r>
        <w:t>Artykuł II.15 – Siła wyższa</w:t>
      </w:r>
      <w:bookmarkEnd w:id="94"/>
      <w:bookmarkEnd w:id="95"/>
      <w:bookmarkEnd w:id="96"/>
      <w:bookmarkEnd w:id="97"/>
    </w:p>
    <w:p w14:paraId="77B8AB53" w14:textId="77777777" w:rsidR="009E4F95" w:rsidRPr="00345713" w:rsidRDefault="009E4F95" w:rsidP="000669D7">
      <w:pPr>
        <w:ind w:left="851" w:hanging="851"/>
        <w:rPr>
          <w:szCs w:val="24"/>
        </w:rPr>
      </w:pPr>
      <w:r>
        <w:rPr>
          <w:b/>
        </w:rPr>
        <w:t>II.15.1</w:t>
      </w:r>
      <w:r>
        <w:tab/>
        <w:t>Strona Umowy, która ma do czynienia</w:t>
      </w:r>
      <w:r w:rsidR="00C24B90">
        <w:t xml:space="preserve"> z dzi</w:t>
      </w:r>
      <w:r>
        <w:t>ałaniem siły wyższej, musi niezwłocznie przesłać drugiej stronie formalne zawiadomienie, podając charakter sytuacji lub zdarzenia, ich spodziewany czas trwania oraz możliwe do przewidzenia skutki.</w:t>
      </w:r>
    </w:p>
    <w:p w14:paraId="02917895" w14:textId="77777777" w:rsidR="009E4F95" w:rsidRPr="00345713" w:rsidRDefault="009E4F95" w:rsidP="000669D7">
      <w:pPr>
        <w:ind w:left="851" w:hanging="851"/>
        <w:rPr>
          <w:szCs w:val="24"/>
        </w:rPr>
      </w:pPr>
      <w:r>
        <w:rPr>
          <w:b/>
        </w:rPr>
        <w:t>II.15.2</w:t>
      </w:r>
      <w:r>
        <w:tab/>
        <w:t>Strony muszą wprowadzić niezbędne środki</w:t>
      </w:r>
      <w:r w:rsidR="00C24B90">
        <w:t xml:space="preserve"> w cel</w:t>
      </w:r>
      <w:r>
        <w:t>u ograniczenia szkód spowodowanych siłą wyższą. Strony muszą dołożyć wszelkich możliwych starań</w:t>
      </w:r>
      <w:r w:rsidR="00C24B90">
        <w:t xml:space="preserve"> w cel</w:t>
      </w:r>
      <w:r>
        <w:t>u jak najszybszego wznowienia realizacji działania.</w:t>
      </w:r>
    </w:p>
    <w:p w14:paraId="21CB8F1F" w14:textId="77777777" w:rsidR="00F0298C" w:rsidRPr="00345713" w:rsidRDefault="00F0298C" w:rsidP="000669D7">
      <w:pPr>
        <w:ind w:left="851" w:hanging="851"/>
        <w:rPr>
          <w:szCs w:val="24"/>
        </w:rPr>
      </w:pPr>
      <w:r>
        <w:rPr>
          <w:b/>
        </w:rPr>
        <w:lastRenderedPageBreak/>
        <w:t>II.15.3</w:t>
      </w:r>
      <w:r>
        <w:tab/>
        <w:t>Stronie Umowy, która ma do czynienia</w:t>
      </w:r>
      <w:r w:rsidR="00C24B90">
        <w:t xml:space="preserve"> z dzi</w:t>
      </w:r>
      <w:r>
        <w:t>ałaniem siły wyższej, nie można zarzucić niewypełnienia obowiązków wynikających</w:t>
      </w:r>
      <w:r w:rsidR="00C24B90">
        <w:t xml:space="preserve"> z Umo</w:t>
      </w:r>
      <w:r>
        <w:t>wy, jeżeli ich wypełnienie uniemożliwiła siła wyższa.</w:t>
      </w:r>
    </w:p>
    <w:p w14:paraId="193E6B70" w14:textId="77777777" w:rsidR="0003387A" w:rsidRPr="00345713" w:rsidRDefault="000A4F91" w:rsidP="000669D7">
      <w:pPr>
        <w:pStyle w:val="Nagwek2"/>
      </w:pPr>
      <w:bookmarkStart w:id="98" w:name="_Toc97092421"/>
      <w:bookmarkStart w:id="99" w:name="_Toc441250846"/>
      <w:bookmarkStart w:id="100" w:name="_Toc530496940"/>
      <w:bookmarkStart w:id="101" w:name="_Toc30764041"/>
      <w:r>
        <w:t>Artykuł II.16 – Zawieszenie realizacji działania</w:t>
      </w:r>
      <w:bookmarkEnd w:id="98"/>
      <w:bookmarkEnd w:id="99"/>
      <w:bookmarkEnd w:id="100"/>
      <w:bookmarkEnd w:id="101"/>
    </w:p>
    <w:p w14:paraId="0AAC63A2" w14:textId="77777777" w:rsidR="0003387A" w:rsidRPr="00345713" w:rsidRDefault="0003387A" w:rsidP="000669D7">
      <w:pPr>
        <w:pStyle w:val="Nagwek3"/>
      </w:pPr>
      <w:bookmarkStart w:id="102" w:name="_Toc441250847"/>
      <w:bookmarkStart w:id="103" w:name="_Toc530496941"/>
      <w:bookmarkStart w:id="104" w:name="_Toc30764042"/>
      <w:r>
        <w:t>II.16.1</w:t>
      </w:r>
      <w:r>
        <w:tab/>
        <w:t>Zawieszenie realizacji działania przez beneficjentów</w:t>
      </w:r>
      <w:bookmarkEnd w:id="102"/>
      <w:bookmarkEnd w:id="103"/>
      <w:bookmarkEnd w:id="104"/>
    </w:p>
    <w:p w14:paraId="1276FD52" w14:textId="77777777" w:rsidR="000310B7" w:rsidRPr="00345713" w:rsidRDefault="0003387A" w:rsidP="000669D7">
      <w:r>
        <w:t>Koordynator może zawiesić</w:t>
      </w:r>
      <w:r w:rsidR="00C24B90">
        <w:t xml:space="preserve"> w imi</w:t>
      </w:r>
      <w:r>
        <w:t>eniu beneficjentów realizację działania lub jego części, jeżeli wyjątkowe okoliczności,</w:t>
      </w:r>
      <w:r w:rsidR="00C24B90">
        <w:t xml:space="preserve"> w szc</w:t>
      </w:r>
      <w:r>
        <w:t>zególności działanie siły wyższej, uniemożliwią taką realizację lub nadmiernie ją utrudnią.</w:t>
      </w:r>
    </w:p>
    <w:p w14:paraId="79E0E07E" w14:textId="77777777" w:rsidR="000310B7" w:rsidRPr="00345713" w:rsidRDefault="0003387A" w:rsidP="000669D7">
      <w:r>
        <w:t>Koordynator ma obowiązek niezwłocznie powiadomić Komisję, wskazując:</w:t>
      </w:r>
    </w:p>
    <w:p w14:paraId="43113A55" w14:textId="77777777" w:rsidR="000310B7" w:rsidRPr="00345713" w:rsidRDefault="000310B7" w:rsidP="003A2A37">
      <w:pPr>
        <w:numPr>
          <w:ilvl w:val="0"/>
          <w:numId w:val="23"/>
        </w:numPr>
      </w:pPr>
      <w:r>
        <w:t>przyczyny zawieszenia,</w:t>
      </w:r>
      <w:r w:rsidR="00C24B90">
        <w:t xml:space="preserve"> w tym</w:t>
      </w:r>
      <w:r>
        <w:t xml:space="preserve"> szczegóły dotyczące terminu lub okresu wystąpienia wyjątkowych okoliczności; oraz</w:t>
      </w:r>
    </w:p>
    <w:p w14:paraId="06F7B2C3" w14:textId="77777777" w:rsidR="0003387A" w:rsidRPr="00345713" w:rsidRDefault="000310B7" w:rsidP="003A2A37">
      <w:pPr>
        <w:numPr>
          <w:ilvl w:val="0"/>
          <w:numId w:val="23"/>
        </w:numPr>
      </w:pPr>
      <w:r>
        <w:t>przewidywaną datę wznowienia realizacji działania.</w:t>
      </w:r>
    </w:p>
    <w:p w14:paraId="67919B2F" w14:textId="77777777" w:rsidR="008E51C4" w:rsidRPr="00C24B90" w:rsidRDefault="00AA73F6" w:rsidP="000669D7">
      <w:r>
        <w:t xml:space="preserve">W chwili gdy okoliczności umożliwią beneficjentom wznowienie realizacji </w:t>
      </w:r>
      <w:r w:rsidRPr="00DF3F23">
        <w:t>działania</w:t>
      </w:r>
      <w:r>
        <w:t>, koordynator musi niezwłocznie poinformować</w:t>
      </w:r>
      <w:r w:rsidR="00C24B90">
        <w:t xml:space="preserve"> o tym</w:t>
      </w:r>
      <w:r>
        <w:t xml:space="preserve"> Komisję</w:t>
      </w:r>
      <w:r w:rsidR="00C24B90">
        <w:t xml:space="preserve"> i prz</w:t>
      </w:r>
      <w:r>
        <w:t>edstawić wniosek</w:t>
      </w:r>
      <w:r w:rsidR="00C24B90">
        <w:t xml:space="preserve"> o zmi</w:t>
      </w:r>
      <w:r>
        <w:t>anę Umowy, jak przewidziano</w:t>
      </w:r>
      <w:r w:rsidR="00C24B90">
        <w:t xml:space="preserve"> w art</w:t>
      </w:r>
      <w:r>
        <w:t>. II.16.3. Obowiązek ten nie ma zastosowania, jeżeli Umowa lub udział beneficjenta zostały wypowiedziane zgodnie</w:t>
      </w:r>
      <w:r w:rsidR="00C24B90">
        <w:t xml:space="preserve"> z art</w:t>
      </w:r>
      <w:r>
        <w:t xml:space="preserve">. II.17.1, art. II.17.2 lub art. II.17.3.1 </w:t>
      </w:r>
      <w:r w:rsidRPr="00C24B90">
        <w:t>lit.</w:t>
      </w:r>
      <w:r w:rsidR="00C24B90" w:rsidRPr="00C24B90">
        <w:t> </w:t>
      </w:r>
      <w:r w:rsidRPr="00C24B90">
        <w:t>c)</w:t>
      </w:r>
      <w:r>
        <w:t xml:space="preserve"> lub d)</w:t>
      </w:r>
      <w:r w:rsidRPr="00C24B90">
        <w:t>.</w:t>
      </w:r>
      <w:r w:rsidR="00C24B90" w:rsidRPr="00C24B90">
        <w:t xml:space="preserve"> </w:t>
      </w:r>
    </w:p>
    <w:p w14:paraId="57FB4AB1" w14:textId="77777777" w:rsidR="0003387A" w:rsidRPr="00345713" w:rsidRDefault="0003387A" w:rsidP="000669D7">
      <w:pPr>
        <w:pStyle w:val="Nagwek3"/>
      </w:pPr>
      <w:bookmarkStart w:id="105" w:name="_Toc441250848"/>
      <w:bookmarkStart w:id="106" w:name="_Toc530496942"/>
      <w:bookmarkStart w:id="107" w:name="_Toc30764043"/>
      <w:r>
        <w:t>II.16.2</w:t>
      </w:r>
      <w:r>
        <w:tab/>
        <w:t>Zawieszenie realizacji działania przez Komisję</w:t>
      </w:r>
      <w:bookmarkEnd w:id="105"/>
      <w:bookmarkEnd w:id="106"/>
      <w:bookmarkEnd w:id="107"/>
    </w:p>
    <w:p w14:paraId="5E6D425D" w14:textId="77777777" w:rsidR="00043B7D" w:rsidRPr="00D047ED" w:rsidRDefault="007A7919" w:rsidP="000669D7">
      <w:pPr>
        <w:pStyle w:val="Nagwek4"/>
      </w:pPr>
      <w:r>
        <w:t>II.16.2.1</w:t>
      </w:r>
      <w:r>
        <w:tab/>
        <w:t>Podstawy zawieszenia</w:t>
      </w:r>
    </w:p>
    <w:p w14:paraId="2097D05D" w14:textId="77777777" w:rsidR="0003387A" w:rsidRPr="00345713" w:rsidRDefault="0003387A" w:rsidP="001413A9">
      <w:pPr>
        <w:tabs>
          <w:tab w:val="left" w:pos="1134"/>
        </w:tabs>
        <w:spacing w:after="0"/>
        <w:ind w:left="1134" w:hanging="1134"/>
        <w:rPr>
          <w:szCs w:val="24"/>
        </w:rPr>
      </w:pPr>
      <w:r>
        <w:t>Komisja może zawiesić realizację działania lub jego części:</w:t>
      </w:r>
    </w:p>
    <w:p w14:paraId="7B214CCF" w14:textId="77777777" w:rsidR="00FC2A5F" w:rsidRPr="00345713" w:rsidRDefault="005F347D" w:rsidP="003A2A37">
      <w:pPr>
        <w:numPr>
          <w:ilvl w:val="0"/>
          <w:numId w:val="24"/>
        </w:numPr>
      </w:pPr>
      <w:r>
        <w:t>jeżeli ma dowody, że beneficjent dopuścił się poważnych nieprawidłowości, nadużyć finansowych lub naruszenia obowiązków</w:t>
      </w:r>
      <w:r w:rsidR="00C24B90">
        <w:t xml:space="preserve"> w pro</w:t>
      </w:r>
      <w:r>
        <w:t>cedurze udzielania dotacji lub realizacji Umowy;</w:t>
      </w:r>
    </w:p>
    <w:p w14:paraId="478C96E9" w14:textId="77777777" w:rsidR="0003387A" w:rsidRPr="00345713" w:rsidRDefault="00E260B1" w:rsidP="003A2A37">
      <w:pPr>
        <w:numPr>
          <w:ilvl w:val="0"/>
          <w:numId w:val="24"/>
        </w:numPr>
      </w:pPr>
      <w:r>
        <w:t>jeżeli Komisja ma dowody, że beneficjent dopuścił się systemowych lub powtarzających się nieprawidłowości, nadużyć finansowych lub poważnego naruszenia obowiązków</w:t>
      </w:r>
      <w:r w:rsidR="00C24B90">
        <w:t xml:space="preserve"> w zwi</w:t>
      </w:r>
      <w:r>
        <w:t>ązku</w:t>
      </w:r>
      <w:r w:rsidR="00C24B90">
        <w:t xml:space="preserve"> z inn</w:t>
      </w:r>
      <w:r>
        <w:t>ymi dotacjami finansowanymi przez Unię lub Europejską Wspólnotę Energii Atomowej („</w:t>
      </w:r>
      <w:proofErr w:type="spellStart"/>
      <w:r>
        <w:t>Euratom</w:t>
      </w:r>
      <w:proofErr w:type="spellEnd"/>
      <w:r>
        <w:t>”), które zostały udzielone temu beneficjentowi na podobnych warunkach,</w:t>
      </w:r>
      <w:r w:rsidR="00C24B90">
        <w:t xml:space="preserve"> a nie</w:t>
      </w:r>
      <w:r>
        <w:t>prawidłowości, nadużycia finansowe lub naruszenie obowiązków mają istotny wpływ na tę dotację; lub</w:t>
      </w:r>
    </w:p>
    <w:p w14:paraId="77865044" w14:textId="77777777" w:rsidR="0003387A" w:rsidRPr="00345713" w:rsidRDefault="007526B1" w:rsidP="003A2A37">
      <w:pPr>
        <w:numPr>
          <w:ilvl w:val="0"/>
          <w:numId w:val="24"/>
        </w:numPr>
      </w:pPr>
      <w:r>
        <w:t>jeżeli Komisja podejrzewa, że beneficjent dopuścił się nieprawidłowości, nadużyć finansowych lub naruszenia obowiązków</w:t>
      </w:r>
      <w:r w:rsidR="00C24B90">
        <w:t xml:space="preserve"> w pro</w:t>
      </w:r>
      <w:r>
        <w:t>cedurze przyznania dotacji lub podczas realizacji Umowy,</w:t>
      </w:r>
      <w:r w:rsidR="00C24B90">
        <w:t xml:space="preserve"> i mus</w:t>
      </w:r>
      <w:r>
        <w:t>i sprawdzić, czy taka sytuacja rzeczywiście miała miejsce.</w:t>
      </w:r>
    </w:p>
    <w:p w14:paraId="76C248EB" w14:textId="77777777" w:rsidR="00043B7D" w:rsidRPr="00D047ED" w:rsidRDefault="007A7919" w:rsidP="000669D7">
      <w:pPr>
        <w:pStyle w:val="Nagwek4"/>
      </w:pPr>
      <w:r>
        <w:t>II.16.2.2</w:t>
      </w:r>
      <w:r>
        <w:tab/>
        <w:t>Procedura zawieszenia</w:t>
      </w:r>
    </w:p>
    <w:p w14:paraId="16746845" w14:textId="77777777" w:rsidR="002B2C5A" w:rsidRPr="00345713" w:rsidRDefault="00043B7D" w:rsidP="000669D7">
      <w:r>
        <w:rPr>
          <w:b/>
        </w:rPr>
        <w:t>Etap 1</w:t>
      </w:r>
      <w:r>
        <w:t xml:space="preserve"> – przed zawieszeniem realizacji działania Komisja musi przekazać koordynatorowi formalne zawiadomienie:</w:t>
      </w:r>
    </w:p>
    <w:p w14:paraId="0AD0CD27" w14:textId="77777777" w:rsidR="002B2C5A" w:rsidRPr="00345713" w:rsidRDefault="002B2C5A" w:rsidP="003A2A37">
      <w:pPr>
        <w:numPr>
          <w:ilvl w:val="0"/>
          <w:numId w:val="25"/>
        </w:numPr>
      </w:pPr>
      <w:r>
        <w:t>w którym poinformuje go o:</w:t>
      </w:r>
    </w:p>
    <w:p w14:paraId="075AF97C" w14:textId="77777777" w:rsidR="002B2C5A" w:rsidRPr="00345713" w:rsidRDefault="002B2C5A" w:rsidP="003A2A37">
      <w:pPr>
        <w:numPr>
          <w:ilvl w:val="0"/>
          <w:numId w:val="26"/>
        </w:numPr>
        <w:ind w:left="1134" w:hanging="425"/>
      </w:pPr>
      <w:r>
        <w:t>zamiarze zawieszenia realizacji działania;</w:t>
      </w:r>
    </w:p>
    <w:p w14:paraId="4821B2E2" w14:textId="77777777" w:rsidR="002B2C5A" w:rsidRPr="00345713" w:rsidRDefault="002B2C5A" w:rsidP="003A2A37">
      <w:pPr>
        <w:numPr>
          <w:ilvl w:val="0"/>
          <w:numId w:val="26"/>
        </w:numPr>
        <w:ind w:left="1134" w:hanging="425"/>
      </w:pPr>
      <w:r>
        <w:lastRenderedPageBreak/>
        <w:t>przyczynach zawieszenia;</w:t>
      </w:r>
    </w:p>
    <w:p w14:paraId="4FD861B7" w14:textId="77777777" w:rsidR="002B2C5A" w:rsidRPr="00345713" w:rsidRDefault="009560F0" w:rsidP="003A2A37">
      <w:pPr>
        <w:numPr>
          <w:ilvl w:val="0"/>
          <w:numId w:val="26"/>
        </w:numPr>
        <w:ind w:left="1134" w:hanging="425"/>
      </w:pPr>
      <w:r>
        <w:t>warunkach niezbędnych do wznowienia realizacji działania</w:t>
      </w:r>
      <w:r w:rsidR="00C24B90">
        <w:t xml:space="preserve"> w prz</w:t>
      </w:r>
      <w:r>
        <w:t>ypadkach,</w:t>
      </w:r>
      <w:r w:rsidR="00C24B90">
        <w:t xml:space="preserve"> o któ</w:t>
      </w:r>
      <w:r>
        <w:t>rych mowa</w:t>
      </w:r>
      <w:r w:rsidR="00C24B90">
        <w:t xml:space="preserve"> w art</w:t>
      </w:r>
      <w:r>
        <w:t xml:space="preserve">. II.16.2.1 </w:t>
      </w:r>
      <w:r w:rsidRPr="00C24B90">
        <w:t>lit.</w:t>
      </w:r>
      <w:r w:rsidR="00C24B90" w:rsidRPr="00C24B90">
        <w:t> </w:t>
      </w:r>
      <w:r w:rsidRPr="00C24B90">
        <w:t>a)</w:t>
      </w:r>
      <w:r>
        <w:t xml:space="preserve"> i b); oraz</w:t>
      </w:r>
    </w:p>
    <w:p w14:paraId="3B298C9C" w14:textId="77777777" w:rsidR="002B2C5A" w:rsidRPr="00345713" w:rsidRDefault="002B2C5A" w:rsidP="003A2A37">
      <w:pPr>
        <w:numPr>
          <w:ilvl w:val="0"/>
          <w:numId w:val="25"/>
        </w:numPr>
      </w:pPr>
      <w:r>
        <w:t>wezwie go do przedstawienia uwag</w:t>
      </w:r>
      <w:r w:rsidR="00C24B90">
        <w:t xml:space="preserve"> w ter</w:t>
      </w:r>
      <w:r>
        <w:t>minie 30 dni kalendarzowych od dnia otrzymania formalnego zawiadomienia.</w:t>
      </w:r>
    </w:p>
    <w:p w14:paraId="4404226D" w14:textId="77777777" w:rsidR="00427BF1" w:rsidRPr="00345713" w:rsidRDefault="00043B7D" w:rsidP="000669D7">
      <w:r>
        <w:rPr>
          <w:b/>
        </w:rPr>
        <w:t>Etap 2</w:t>
      </w:r>
      <w:r>
        <w:t xml:space="preserve"> – jeżeli Komisja nie otrzyma żadnych uwag lub pomimo otrzymania takich uwag podejmie decyzję</w:t>
      </w:r>
      <w:r w:rsidR="00C24B90">
        <w:t xml:space="preserve"> o kon</w:t>
      </w:r>
      <w:r>
        <w:t>tynuowaniu procedury, musi przekazać koordynatorowi formalne zawiadomienie,</w:t>
      </w:r>
      <w:r w:rsidR="00C24B90">
        <w:t xml:space="preserve"> w któ</w:t>
      </w:r>
      <w:r>
        <w:t>rym poinformuje go o:</w:t>
      </w:r>
    </w:p>
    <w:p w14:paraId="6DA97CB2" w14:textId="77777777" w:rsidR="00C12C53" w:rsidRPr="00345713" w:rsidRDefault="00C12C53" w:rsidP="003A2A37">
      <w:pPr>
        <w:numPr>
          <w:ilvl w:val="0"/>
          <w:numId w:val="27"/>
        </w:numPr>
      </w:pPr>
      <w:r>
        <w:t>zawieszeniu realizacji działania;</w:t>
      </w:r>
    </w:p>
    <w:p w14:paraId="1A21B559" w14:textId="77777777" w:rsidR="00C12C53" w:rsidRPr="00345713" w:rsidRDefault="00C12C53" w:rsidP="003A2A37">
      <w:pPr>
        <w:numPr>
          <w:ilvl w:val="0"/>
          <w:numId w:val="27"/>
        </w:numPr>
      </w:pPr>
      <w:r>
        <w:t>przyczynach zawieszenia; oraz</w:t>
      </w:r>
    </w:p>
    <w:p w14:paraId="1A36D467" w14:textId="77777777" w:rsidR="00C12C53" w:rsidRPr="00345713" w:rsidRDefault="00954DC7" w:rsidP="003A2A37">
      <w:pPr>
        <w:numPr>
          <w:ilvl w:val="0"/>
          <w:numId w:val="27"/>
        </w:numPr>
      </w:pPr>
      <w:r>
        <w:t>ostatecznych warunkach dotyczących wznowienia realizacji działania</w:t>
      </w:r>
      <w:r w:rsidR="00C24B90">
        <w:t xml:space="preserve"> w prz</w:t>
      </w:r>
      <w:r>
        <w:t>ypadkach,</w:t>
      </w:r>
      <w:r w:rsidR="00C24B90">
        <w:t xml:space="preserve"> o któ</w:t>
      </w:r>
      <w:r>
        <w:t>rych mowa</w:t>
      </w:r>
      <w:r w:rsidR="00C24B90">
        <w:t xml:space="preserve"> w art</w:t>
      </w:r>
      <w:r>
        <w:t xml:space="preserve">. II.16.2.1 </w:t>
      </w:r>
      <w:r w:rsidRPr="00C24B90">
        <w:t>lit.</w:t>
      </w:r>
      <w:r w:rsidR="00C24B90" w:rsidRPr="00C24B90">
        <w:t> </w:t>
      </w:r>
      <w:r w:rsidRPr="00C24B90">
        <w:t>a)</w:t>
      </w:r>
      <w:r>
        <w:t xml:space="preserve"> i b); lub</w:t>
      </w:r>
    </w:p>
    <w:p w14:paraId="447F2851" w14:textId="77777777" w:rsidR="00E260B1" w:rsidRPr="00345713" w:rsidRDefault="00954DC7" w:rsidP="003A2A37">
      <w:pPr>
        <w:numPr>
          <w:ilvl w:val="0"/>
          <w:numId w:val="27"/>
        </w:numPr>
      </w:pPr>
      <w:r>
        <w:t>przybliżonym terminie zakończenia niezbędnego procesu weryfikacji</w:t>
      </w:r>
      <w:r w:rsidR="00C24B90">
        <w:t xml:space="preserve"> w prz</w:t>
      </w:r>
      <w:r>
        <w:t>ypadku,</w:t>
      </w:r>
      <w:r w:rsidR="00C24B90">
        <w:t xml:space="preserve"> o któ</w:t>
      </w:r>
      <w:r>
        <w:t>rym mowa</w:t>
      </w:r>
      <w:r w:rsidR="00C24B90">
        <w:t xml:space="preserve"> w art</w:t>
      </w:r>
      <w:r>
        <w:t xml:space="preserve">. II.16.2.1 </w:t>
      </w:r>
      <w:r w:rsidRPr="00C24B90">
        <w:t>lit.</w:t>
      </w:r>
      <w:r w:rsidR="00C24B90" w:rsidRPr="00C24B90">
        <w:t> </w:t>
      </w:r>
      <w:r w:rsidRPr="00C24B90">
        <w:t>c)</w:t>
      </w:r>
      <w:r>
        <w:t>.</w:t>
      </w:r>
    </w:p>
    <w:p w14:paraId="5D3A8E68" w14:textId="77777777" w:rsidR="002C49BD" w:rsidRPr="00345713" w:rsidRDefault="002C49BD" w:rsidP="000669D7">
      <w:pPr>
        <w:ind w:left="426"/>
      </w:pPr>
      <w:r>
        <w:t>Koordynator ma obowiązek niezwłocznie powiadomić pozostałych beneficjentów</w:t>
      </w:r>
      <w:r w:rsidR="00C24B90">
        <w:t xml:space="preserve"> o zaw</w:t>
      </w:r>
      <w:r>
        <w:t>ieszeniu. Zawieszenie zaczyna obowiązywać pięć dni kalendarzowych po otrzymaniu formalnego zawiadomienia przez koordynatora lub</w:t>
      </w:r>
      <w:r w:rsidR="00C24B90">
        <w:t xml:space="preserve"> w póź</w:t>
      </w:r>
      <w:r>
        <w:t>niejszym terminie określonym</w:t>
      </w:r>
      <w:r w:rsidR="00C24B90">
        <w:t xml:space="preserve"> w for</w:t>
      </w:r>
      <w:r>
        <w:t>malnym zawiadomieniu.</w:t>
      </w:r>
    </w:p>
    <w:p w14:paraId="2A760399" w14:textId="77777777" w:rsidR="000526D2" w:rsidRPr="00345713" w:rsidRDefault="000526D2" w:rsidP="00A6537C">
      <w:pPr>
        <w:ind w:left="426"/>
      </w:pPr>
      <w:r>
        <w:t>W przeciwnym razie Komisja musi przekazać koordynatorowi formalne zawiadomienie,</w:t>
      </w:r>
      <w:r w:rsidR="00C24B90">
        <w:t xml:space="preserve"> w któ</w:t>
      </w:r>
      <w:r>
        <w:t>rym poinformuje go, że nie będzie kontynuowała procedury zawieszenia.</w:t>
      </w:r>
    </w:p>
    <w:p w14:paraId="0C74D9EE" w14:textId="77777777" w:rsidR="00043B7D" w:rsidRPr="00D047ED" w:rsidRDefault="00043B7D" w:rsidP="000669D7">
      <w:pPr>
        <w:pStyle w:val="Nagwek4"/>
      </w:pPr>
      <w:r>
        <w:t xml:space="preserve">II.16.2.3 </w:t>
      </w:r>
      <w:r>
        <w:tab/>
        <w:t>Wznowienie realizacji działania</w:t>
      </w:r>
    </w:p>
    <w:p w14:paraId="79D92EAA" w14:textId="77777777" w:rsidR="002E3577" w:rsidRPr="00345713" w:rsidRDefault="002C49BD" w:rsidP="000669D7">
      <w:r>
        <w:t>W celu wznowienia realizacji beneficjenci muszą jak najszybciej spełnić postawione im warunki</w:t>
      </w:r>
      <w:r w:rsidR="00C24B90">
        <w:t xml:space="preserve"> i inf</w:t>
      </w:r>
      <w:r>
        <w:t>ormować Komisję</w:t>
      </w:r>
      <w:r w:rsidR="00C24B90">
        <w:t xml:space="preserve"> o pos</w:t>
      </w:r>
      <w:r>
        <w:t>tępach</w:t>
      </w:r>
      <w:r w:rsidR="00C24B90">
        <w:t xml:space="preserve"> w tym</w:t>
      </w:r>
      <w:r>
        <w:t xml:space="preserve"> zakresie.</w:t>
      </w:r>
    </w:p>
    <w:p w14:paraId="1BE01A3C" w14:textId="77777777" w:rsidR="002C49BD" w:rsidRPr="00345713" w:rsidRDefault="002C49BD" w:rsidP="000669D7">
      <w:r>
        <w:t>Jeżeli warunki dotyczące wznowienia realizacji są spełnione lub przeprowadzono niezbędną weryfikację, Komisja musi przekazać koordynatorowi formalne zawiadomienie:</w:t>
      </w:r>
    </w:p>
    <w:p w14:paraId="7F5B279D" w14:textId="77777777" w:rsidR="002C49BD" w:rsidRPr="00345713" w:rsidRDefault="00CD2788" w:rsidP="003A2A37">
      <w:pPr>
        <w:numPr>
          <w:ilvl w:val="0"/>
          <w:numId w:val="28"/>
        </w:numPr>
      </w:pPr>
      <w:r>
        <w:t>w którym poinformuje go</w:t>
      </w:r>
      <w:r w:rsidR="00C24B90">
        <w:t xml:space="preserve"> o spe</w:t>
      </w:r>
      <w:r>
        <w:t>łnieniu warunków dotyczących zniesienia zawieszenia; oraz</w:t>
      </w:r>
    </w:p>
    <w:p w14:paraId="670BBE99" w14:textId="77777777" w:rsidR="0098157A" w:rsidRPr="00345713" w:rsidRDefault="00244875" w:rsidP="003A2A37">
      <w:pPr>
        <w:numPr>
          <w:ilvl w:val="0"/>
          <w:numId w:val="28"/>
        </w:numPr>
      </w:pPr>
      <w:r>
        <w:t>zobowiąże go do przedstawienia wniosku</w:t>
      </w:r>
      <w:r w:rsidR="00C24B90">
        <w:t xml:space="preserve"> o zmi</w:t>
      </w:r>
      <w:r>
        <w:t>anę Umowy, jak przewidziano</w:t>
      </w:r>
      <w:r w:rsidR="00C24B90">
        <w:t xml:space="preserve"> w art</w:t>
      </w:r>
      <w:r>
        <w:t>. II.16.3. Obowiązek ten nie ma zastosowania, jeżeli Umowa lub udział beneficjenta zostały wypowiedziane zgodnie</w:t>
      </w:r>
      <w:r w:rsidR="00C24B90">
        <w:t xml:space="preserve"> z art</w:t>
      </w:r>
      <w:r>
        <w:t xml:space="preserve">. II.17.1, art. II.17.2 lub art. II.17.3.1 </w:t>
      </w:r>
      <w:r w:rsidRPr="00C24B90">
        <w:t>lit.</w:t>
      </w:r>
      <w:r w:rsidR="00C24B90" w:rsidRPr="00C24B90">
        <w:t> </w:t>
      </w:r>
      <w:r w:rsidRPr="00C24B90">
        <w:t>c)</w:t>
      </w:r>
      <w:r>
        <w:t>, g) lub h).</w:t>
      </w:r>
    </w:p>
    <w:p w14:paraId="489BEA7E" w14:textId="77777777" w:rsidR="0003387A" w:rsidRPr="00345713" w:rsidRDefault="0003387A" w:rsidP="000669D7">
      <w:pPr>
        <w:pStyle w:val="Nagwek3"/>
      </w:pPr>
      <w:bookmarkStart w:id="108" w:name="_Toc441250849"/>
      <w:bookmarkStart w:id="109" w:name="_Toc530496943"/>
      <w:bookmarkStart w:id="110" w:name="_Toc30764044"/>
      <w:r>
        <w:t xml:space="preserve">II.16.3 </w:t>
      </w:r>
      <w:r>
        <w:tab/>
        <w:t>Skutki zawieszenia</w:t>
      </w:r>
      <w:bookmarkEnd w:id="108"/>
      <w:bookmarkEnd w:id="109"/>
      <w:bookmarkEnd w:id="110"/>
    </w:p>
    <w:p w14:paraId="207FC7BB" w14:textId="77777777" w:rsidR="00F15295" w:rsidRPr="00345713" w:rsidRDefault="0003387A" w:rsidP="000669D7">
      <w:r>
        <w:t xml:space="preserve">Jeżeli realizację </w:t>
      </w:r>
      <w:r w:rsidRPr="00DF3F23">
        <w:t>działania</w:t>
      </w:r>
      <w:r>
        <w:t xml:space="preserve"> można wznowić,</w:t>
      </w:r>
      <w:r w:rsidR="00C24B90">
        <w:t xml:space="preserve"> a Umo</w:t>
      </w:r>
      <w:r>
        <w:t>wa nie została wypowiedziana,</w:t>
      </w:r>
      <w:r w:rsidR="00C24B90">
        <w:t xml:space="preserve"> w Umo</w:t>
      </w:r>
      <w:r>
        <w:t>wie należy dokonać zmiany zgodnie</w:t>
      </w:r>
      <w:r w:rsidR="00C24B90">
        <w:t xml:space="preserve"> z art</w:t>
      </w:r>
      <w:r>
        <w:t>. II.13</w:t>
      </w:r>
      <w:r w:rsidR="00C24B90">
        <w:t xml:space="preserve"> w cel</w:t>
      </w:r>
      <w:r>
        <w:t>u:</w:t>
      </w:r>
    </w:p>
    <w:p w14:paraId="611E103F" w14:textId="77777777" w:rsidR="00F15295" w:rsidRPr="00345713" w:rsidRDefault="0045097A" w:rsidP="003A2A37">
      <w:pPr>
        <w:numPr>
          <w:ilvl w:val="0"/>
          <w:numId w:val="29"/>
        </w:numPr>
      </w:pPr>
      <w:r>
        <w:t>ustalenia daty wznowienia działania;</w:t>
      </w:r>
    </w:p>
    <w:p w14:paraId="59622D62" w14:textId="77777777" w:rsidR="00F15295" w:rsidRPr="00345713" w:rsidRDefault="0003387A" w:rsidP="003A2A37">
      <w:pPr>
        <w:numPr>
          <w:ilvl w:val="0"/>
          <w:numId w:val="29"/>
        </w:numPr>
      </w:pPr>
      <w:r>
        <w:t>przedłużenia trwania działania; oraz</w:t>
      </w:r>
    </w:p>
    <w:p w14:paraId="2673E30B" w14:textId="77777777" w:rsidR="0003387A" w:rsidRPr="00345713" w:rsidRDefault="0045097A" w:rsidP="003A2A37">
      <w:pPr>
        <w:numPr>
          <w:ilvl w:val="0"/>
          <w:numId w:val="29"/>
        </w:numPr>
      </w:pPr>
      <w:r>
        <w:t>dokonania innych modyfikacji niezbędnych do dostosowania działania do nowej sytuacji.</w:t>
      </w:r>
    </w:p>
    <w:p w14:paraId="46D9D9B0" w14:textId="77777777" w:rsidR="00562965" w:rsidRPr="00345713" w:rsidRDefault="00562965" w:rsidP="000669D7">
      <w:r>
        <w:lastRenderedPageBreak/>
        <w:t>Zawieszenie zostaje zniesione ze skutkiem od daty wznowienia realizacji działania określonej</w:t>
      </w:r>
      <w:r w:rsidR="00C24B90">
        <w:t xml:space="preserve"> w zmi</w:t>
      </w:r>
      <w:r>
        <w:t>anie Umowy. Data ta może być wcześniejsza niż data wejścia</w:t>
      </w:r>
      <w:r w:rsidR="00C24B90">
        <w:t xml:space="preserve"> w życ</w:t>
      </w:r>
      <w:r>
        <w:t>ie zmiany Umowy.</w:t>
      </w:r>
    </w:p>
    <w:p w14:paraId="2E8113B9" w14:textId="77777777" w:rsidR="0003387A" w:rsidRPr="00C24B90" w:rsidRDefault="00562965" w:rsidP="000669D7">
      <w:r>
        <w:t>Koszty poniesione podczas okresu zawieszenia</w:t>
      </w:r>
      <w:r w:rsidR="00C24B90">
        <w:t xml:space="preserve"> w zwi</w:t>
      </w:r>
      <w:r>
        <w:t>ązku</w:t>
      </w:r>
      <w:r w:rsidR="00C24B90">
        <w:t xml:space="preserve"> z rea</w:t>
      </w:r>
      <w:r>
        <w:t>lizacją zawieszonego działania lub jego zawieszonej części nie podlegają zwrotowi ani nie są objęte dotacją</w:t>
      </w:r>
      <w:r w:rsidRPr="00C24B90">
        <w:t>.</w:t>
      </w:r>
      <w:r w:rsidR="00C24B90" w:rsidRPr="00C24B90">
        <w:t xml:space="preserve"> </w:t>
      </w:r>
    </w:p>
    <w:p w14:paraId="28DE716E" w14:textId="77777777" w:rsidR="002429E2" w:rsidRPr="00345713" w:rsidRDefault="00F15295" w:rsidP="000669D7">
      <w:r>
        <w:t xml:space="preserve">Zawieszenie realizacji </w:t>
      </w:r>
      <w:r w:rsidRPr="00DF3F23">
        <w:t>działania</w:t>
      </w:r>
      <w:r>
        <w:t xml:space="preserve"> nie wpływa na prawo Komisji do wypowiedzenia Umowy lub udziału beneficjenta zgodnie</w:t>
      </w:r>
      <w:r w:rsidR="00C24B90">
        <w:t xml:space="preserve"> z art</w:t>
      </w:r>
      <w:r>
        <w:t>. II.17.3 ani na prawo do zmniejszenia dotacji lub odzyskania nienależnie wypłaconych kwot zgodnie</w:t>
      </w:r>
      <w:r w:rsidR="00C24B90">
        <w:t xml:space="preserve"> z art</w:t>
      </w:r>
      <w:r>
        <w:t>. II.25.4 oraz art. II.26.</w:t>
      </w:r>
    </w:p>
    <w:p w14:paraId="78B25EE7" w14:textId="77777777" w:rsidR="000E32F0" w:rsidRPr="00345713" w:rsidRDefault="000E32F0" w:rsidP="000669D7">
      <w:r>
        <w:t>Żadna ze stron nie może dochodzić odszkodowania</w:t>
      </w:r>
      <w:r w:rsidR="00C24B90">
        <w:t xml:space="preserve"> z pow</w:t>
      </w:r>
      <w:r>
        <w:t>odu zawieszenia realizacji działania przez drugą stronę.</w:t>
      </w:r>
    </w:p>
    <w:p w14:paraId="6DEFAADE" w14:textId="77777777" w:rsidR="00C75428" w:rsidRPr="00345713" w:rsidRDefault="000A4F91" w:rsidP="000669D7">
      <w:pPr>
        <w:pStyle w:val="Nagwek2"/>
      </w:pPr>
      <w:bookmarkStart w:id="111" w:name="_Toc441250850"/>
      <w:bookmarkStart w:id="112" w:name="_Toc530496944"/>
      <w:bookmarkStart w:id="113" w:name="_Toc30764045"/>
      <w:r>
        <w:t>Artykuł II.17 – Wypowiedzenie Umowy</w:t>
      </w:r>
      <w:bookmarkEnd w:id="111"/>
      <w:bookmarkEnd w:id="112"/>
      <w:bookmarkEnd w:id="113"/>
    </w:p>
    <w:p w14:paraId="1E7AF6AB" w14:textId="77777777" w:rsidR="00C75428" w:rsidRPr="00345713" w:rsidRDefault="009B606A" w:rsidP="00D047ED">
      <w:pPr>
        <w:pStyle w:val="Nagwek3"/>
        <w:ind w:left="851" w:hanging="851"/>
      </w:pPr>
      <w:bookmarkStart w:id="114" w:name="_Toc441250851"/>
      <w:bookmarkStart w:id="115" w:name="_Toc530496945"/>
      <w:bookmarkStart w:id="116" w:name="_Toc30764046"/>
      <w:r>
        <w:t>II.17.1</w:t>
      </w:r>
      <w:r>
        <w:tab/>
        <w:t>Wypowiedzenie Umowy przez koordynatora</w:t>
      </w:r>
      <w:bookmarkEnd w:id="114"/>
      <w:bookmarkEnd w:id="115"/>
      <w:bookmarkEnd w:id="116"/>
    </w:p>
    <w:p w14:paraId="6E55C6E0" w14:textId="77777777" w:rsidR="00BD3D18" w:rsidRPr="00345713" w:rsidRDefault="00BD3D18" w:rsidP="001A2CAB">
      <w:r>
        <w:t>Beneficjenci mogą wypowiedzieć Umowę.</w:t>
      </w:r>
    </w:p>
    <w:p w14:paraId="6BBB6786" w14:textId="77777777" w:rsidR="00BD3D18" w:rsidRPr="00345713" w:rsidRDefault="00BD3D18" w:rsidP="001A2CAB">
      <w:r>
        <w:t>Koordynator musi przekazać Komisji formalne zawiadomienie</w:t>
      </w:r>
      <w:r w:rsidR="00C24B90">
        <w:t xml:space="preserve"> o wyp</w:t>
      </w:r>
      <w:r>
        <w:t>owiedzeniu Umowy,</w:t>
      </w:r>
      <w:r w:rsidR="00C24B90">
        <w:t xml:space="preserve"> w któ</w:t>
      </w:r>
      <w:r>
        <w:t>rym wskaże:</w:t>
      </w:r>
    </w:p>
    <w:p w14:paraId="0F7F6C1B" w14:textId="77777777" w:rsidR="00BD3D18" w:rsidRPr="00345713" w:rsidRDefault="00BD3D18" w:rsidP="003A2A37">
      <w:pPr>
        <w:numPr>
          <w:ilvl w:val="0"/>
          <w:numId w:val="30"/>
        </w:numPr>
      </w:pPr>
      <w:r>
        <w:t>przyczyny wypowiedzenia; oraz</w:t>
      </w:r>
    </w:p>
    <w:p w14:paraId="2662F4FE" w14:textId="77777777" w:rsidR="00BD3D18" w:rsidRPr="00345713" w:rsidRDefault="00BD3D18" w:rsidP="003A2A37">
      <w:pPr>
        <w:numPr>
          <w:ilvl w:val="0"/>
          <w:numId w:val="30"/>
        </w:numPr>
      </w:pPr>
      <w:r>
        <w:t>dzień,</w:t>
      </w:r>
      <w:r w:rsidR="00C24B90">
        <w:t xml:space="preserve"> w któ</w:t>
      </w:r>
      <w:r>
        <w:t>rym wypowiedzenie staje się skuteczne. Dzień ten musi wypadać po przekazaniu formalnego zawiadomienia.</w:t>
      </w:r>
    </w:p>
    <w:p w14:paraId="3D5D7C0E" w14:textId="77777777" w:rsidR="00BD3D18" w:rsidRPr="00345713" w:rsidRDefault="00BD3D18" w:rsidP="001A2CAB">
      <w:r>
        <w:t>Jeżeli koordynator nie wskaże przyczyn wypowiedzenia Umowy lub jeżeli Komisja uzna, że podane przyczyny nie uzasadniają wypowiedzenia, uznaje się, że Umowę wypowiedziano</w:t>
      </w:r>
      <w:r w:rsidR="00C24B90">
        <w:t xml:space="preserve"> w spo</w:t>
      </w:r>
      <w:r>
        <w:t>sób niewłaściwy.</w:t>
      </w:r>
    </w:p>
    <w:p w14:paraId="466CFF60" w14:textId="77777777" w:rsidR="00BD3D18" w:rsidRPr="00345713" w:rsidRDefault="00BD3D18" w:rsidP="001A2CAB">
      <w:r>
        <w:t>Wypowiedzenie staje się skuteczne</w:t>
      </w:r>
      <w:r w:rsidR="00C24B90">
        <w:t xml:space="preserve"> w dni</w:t>
      </w:r>
      <w:r>
        <w:t>u określonym</w:t>
      </w:r>
      <w:r w:rsidR="00C24B90">
        <w:t xml:space="preserve"> w for</w:t>
      </w:r>
      <w:r>
        <w:t>malnym zawiadomieniu.</w:t>
      </w:r>
    </w:p>
    <w:p w14:paraId="5E8DDAFE" w14:textId="77777777" w:rsidR="00C75428" w:rsidRPr="00345713" w:rsidRDefault="009B606A" w:rsidP="00D047ED">
      <w:pPr>
        <w:pStyle w:val="Nagwek3"/>
        <w:ind w:left="851" w:hanging="851"/>
        <w:jc w:val="both"/>
      </w:pPr>
      <w:bookmarkStart w:id="117" w:name="_Toc441250852"/>
      <w:bookmarkStart w:id="118" w:name="_Toc530496946"/>
      <w:bookmarkStart w:id="119" w:name="_Toc30764047"/>
      <w:r>
        <w:t>II.17.2</w:t>
      </w:r>
      <w:r>
        <w:tab/>
        <w:t>Wypowiedzenie udziału jednego beneficjenta lub większej ich liczby przez koordynatora</w:t>
      </w:r>
      <w:bookmarkEnd w:id="117"/>
      <w:bookmarkEnd w:id="118"/>
      <w:bookmarkEnd w:id="119"/>
    </w:p>
    <w:p w14:paraId="0317294E" w14:textId="77777777" w:rsidR="00BD3D18" w:rsidRPr="00345713" w:rsidRDefault="00BD3D18" w:rsidP="001A2CAB">
      <w:r>
        <w:t>Koordynator może wypowiedzieć udział jednego beneficjenta lub większej ich liczby na wniosek zainteresowanego beneficjenta lub</w:t>
      </w:r>
      <w:r w:rsidR="00C24B90">
        <w:t xml:space="preserve"> w imi</w:t>
      </w:r>
      <w:r>
        <w:t>eniu pozostałych beneficjentów.</w:t>
      </w:r>
    </w:p>
    <w:p w14:paraId="2A983F73" w14:textId="77777777" w:rsidR="00BD3D18" w:rsidRPr="00345713" w:rsidRDefault="00BD3D18" w:rsidP="001A2CAB">
      <w:r>
        <w:t>Koordynator musi przekazać Komisji formalne zawiadomienie</w:t>
      </w:r>
      <w:r w:rsidR="00C24B90">
        <w:t xml:space="preserve"> o wyp</w:t>
      </w:r>
      <w:r>
        <w:t>owiedzeniu udziału oraz powiadomić</w:t>
      </w:r>
      <w:r w:rsidR="00C24B90">
        <w:t xml:space="preserve"> o tym</w:t>
      </w:r>
      <w:r>
        <w:t xml:space="preserve"> zainteresowanego beneficjenta.</w:t>
      </w:r>
    </w:p>
    <w:p w14:paraId="2DC6D567" w14:textId="77777777" w:rsidR="00BD3D18" w:rsidRPr="00345713" w:rsidRDefault="00BD3D18" w:rsidP="001A2CAB">
      <w:r>
        <w:t>Jeżeli udział koordynatora zostanie wypowiedziany bez jego zgody, formalne zawiadomienie musi przekazać inny beneficjent (działający</w:t>
      </w:r>
      <w:r w:rsidR="00C24B90">
        <w:t xml:space="preserve"> w imi</w:t>
      </w:r>
      <w:r>
        <w:t>eniu pozostałych beneficjentów).</w:t>
      </w:r>
    </w:p>
    <w:p w14:paraId="3FF5AADB" w14:textId="77777777" w:rsidR="00BD3D18" w:rsidRPr="00345713" w:rsidRDefault="00BD3D18" w:rsidP="001A2CAB">
      <w:r>
        <w:t>Formalne zawiadomienie musi zawierać:</w:t>
      </w:r>
    </w:p>
    <w:p w14:paraId="4EA8769D" w14:textId="77777777" w:rsidR="00BD3D18" w:rsidRPr="00345713" w:rsidRDefault="00BD3D18" w:rsidP="003A2A37">
      <w:pPr>
        <w:numPr>
          <w:ilvl w:val="0"/>
          <w:numId w:val="31"/>
        </w:numPr>
      </w:pPr>
      <w:r>
        <w:t>przyczyny wypowiedzenia;</w:t>
      </w:r>
    </w:p>
    <w:p w14:paraId="2FDB43D2" w14:textId="77777777" w:rsidR="00BD3D18" w:rsidRPr="00345713" w:rsidRDefault="00BD3D18" w:rsidP="003A2A37">
      <w:pPr>
        <w:numPr>
          <w:ilvl w:val="0"/>
          <w:numId w:val="31"/>
        </w:numPr>
      </w:pPr>
      <w:r>
        <w:t>opinię beneficjenta, którego dotyczy wypowiedzenie (lub dowód, że</w:t>
      </w:r>
      <w:r w:rsidR="00C24B90">
        <w:t xml:space="preserve"> o tak</w:t>
      </w:r>
      <w:r>
        <w:t>ą opinię zwrócono się na piśmie);</w:t>
      </w:r>
    </w:p>
    <w:p w14:paraId="09C5A084" w14:textId="77777777" w:rsidR="00BD3D18" w:rsidRPr="00345713" w:rsidRDefault="00BD3D18" w:rsidP="003A2A37">
      <w:pPr>
        <w:numPr>
          <w:ilvl w:val="0"/>
          <w:numId w:val="31"/>
        </w:numPr>
      </w:pPr>
      <w:r>
        <w:t>dzień,</w:t>
      </w:r>
      <w:r w:rsidR="00C24B90">
        <w:t xml:space="preserve"> w któ</w:t>
      </w:r>
      <w:r>
        <w:t>rym wypowiedzenie staje się skuteczne. Dzień ten musi wypadać po przekazaniu formalnego zawiadomienia; oraz</w:t>
      </w:r>
    </w:p>
    <w:p w14:paraId="7DAB9787" w14:textId="77777777" w:rsidR="00D83AD3" w:rsidRPr="00345713" w:rsidRDefault="00D83AD3" w:rsidP="003A2A37">
      <w:pPr>
        <w:numPr>
          <w:ilvl w:val="0"/>
          <w:numId w:val="31"/>
        </w:numPr>
      </w:pPr>
      <w:r>
        <w:lastRenderedPageBreak/>
        <w:t>wniosek</w:t>
      </w:r>
      <w:r w:rsidR="00C24B90">
        <w:t xml:space="preserve"> o zmi</w:t>
      </w:r>
      <w:r>
        <w:t>anę Umowy, zgodnie</w:t>
      </w:r>
      <w:r w:rsidR="00C24B90">
        <w:t xml:space="preserve"> z art</w:t>
      </w:r>
      <w:r>
        <w:t xml:space="preserve">. II.17.4.2 </w:t>
      </w:r>
      <w:r w:rsidRPr="00C24B90">
        <w:t>lit.</w:t>
      </w:r>
      <w:r w:rsidR="00C24B90" w:rsidRPr="00C24B90">
        <w:t> </w:t>
      </w:r>
      <w:r w:rsidRPr="00C24B90">
        <w:t>a)</w:t>
      </w:r>
      <w:r>
        <w:t>.</w:t>
      </w:r>
    </w:p>
    <w:p w14:paraId="3AE1235C" w14:textId="77777777" w:rsidR="00BD3D18" w:rsidRPr="00345713" w:rsidRDefault="00BD3D18" w:rsidP="001A2CAB">
      <w:r>
        <w:t>Jeżeli koordynator ani beneficjent nie wskaże przyczyn wypowiedzenia lub jeżeli Komisja uzna, że podane przyczyny nie uzasadniają wypowiedzenia, zostanie uznane, że udział wypowiedziano</w:t>
      </w:r>
      <w:r w:rsidR="00C24B90">
        <w:t xml:space="preserve"> w spo</w:t>
      </w:r>
      <w:r>
        <w:t>sób niewłaściwy.</w:t>
      </w:r>
    </w:p>
    <w:p w14:paraId="6A164A13" w14:textId="77777777" w:rsidR="006E0116" w:rsidRPr="00345713" w:rsidRDefault="00BD3D18" w:rsidP="001A2CAB">
      <w:r>
        <w:t>Wypowiedzenie staje się skuteczne</w:t>
      </w:r>
      <w:r w:rsidR="00C24B90">
        <w:t xml:space="preserve"> w dni</w:t>
      </w:r>
      <w:r>
        <w:t>u określonym</w:t>
      </w:r>
      <w:r w:rsidR="00C24B90">
        <w:t xml:space="preserve"> w for</w:t>
      </w:r>
      <w:r>
        <w:t>malnym zawiadomieniu.</w:t>
      </w:r>
    </w:p>
    <w:p w14:paraId="7424A9F1" w14:textId="77777777" w:rsidR="00C75428" w:rsidRPr="00345713" w:rsidRDefault="00C75428" w:rsidP="00D047ED">
      <w:pPr>
        <w:pStyle w:val="Nagwek3"/>
        <w:ind w:left="851" w:hanging="851"/>
        <w:jc w:val="both"/>
      </w:pPr>
      <w:bookmarkStart w:id="120" w:name="_Toc441250853"/>
      <w:bookmarkStart w:id="121" w:name="_Toc530496947"/>
      <w:bookmarkStart w:id="122" w:name="_Toc30764048"/>
      <w:r>
        <w:t>II.17.3</w:t>
      </w:r>
      <w:r>
        <w:tab/>
        <w:t>Wypowiedzenie Umowy lub udziału beneficjenta lub większej liczby beneficjentów przez Komisję</w:t>
      </w:r>
      <w:bookmarkEnd w:id="120"/>
      <w:bookmarkEnd w:id="121"/>
      <w:bookmarkEnd w:id="122"/>
    </w:p>
    <w:p w14:paraId="3D988A19" w14:textId="77777777" w:rsidR="00F2700A" w:rsidRPr="00D047ED" w:rsidRDefault="005C3A15" w:rsidP="001A2CAB">
      <w:pPr>
        <w:pStyle w:val="Nagwek4"/>
      </w:pPr>
      <w:r>
        <w:t>II.17.3.1</w:t>
      </w:r>
      <w:r>
        <w:tab/>
        <w:t>Podstawy wypowiedzenia</w:t>
      </w:r>
    </w:p>
    <w:p w14:paraId="1FF6AB30" w14:textId="77777777" w:rsidR="00C75428" w:rsidRPr="00345713" w:rsidRDefault="00C75428" w:rsidP="001A2CAB">
      <w:r>
        <w:t>Komisja może wypowiedzieć Umowę lub udział dowolnego beneficjenta lub kilku beneficjentów, jeżeli:</w:t>
      </w:r>
    </w:p>
    <w:p w14:paraId="55121C90" w14:textId="77777777" w:rsidR="00C75428" w:rsidRPr="00345713" w:rsidRDefault="00C75428" w:rsidP="00402D09">
      <w:pPr>
        <w:numPr>
          <w:ilvl w:val="0"/>
          <w:numId w:val="32"/>
        </w:numPr>
        <w:spacing w:after="240" w:afterAutospacing="0"/>
        <w:ind w:left="714" w:hanging="357"/>
      </w:pPr>
      <w:r>
        <w:t>zmiana sytuacji prawnej, finansowej, technicznej lub organizacyjnej beneficjenta lub jego praw własności może wywrzeć znaczący wpływ na realizację Umowy lub podważa decyzję</w:t>
      </w:r>
      <w:r w:rsidR="00C24B90">
        <w:t xml:space="preserve"> o prz</w:t>
      </w:r>
      <w:r>
        <w:t>yznaniu dotacji lub zmiana dotycząca sytuacji wykluczenia wymienionych</w:t>
      </w:r>
      <w:r w:rsidR="00C24B90">
        <w:t xml:space="preserve"> w </w:t>
      </w:r>
      <w:r w:rsidR="00C24B90" w:rsidRPr="00C24B90">
        <w:t>art</w:t>
      </w:r>
      <w:r w:rsidRPr="00C24B90">
        <w:t>.</w:t>
      </w:r>
      <w:r w:rsidR="00C24B90" w:rsidRPr="00C24B90">
        <w:t> </w:t>
      </w:r>
      <w:r w:rsidRPr="00C24B90">
        <w:t>1</w:t>
      </w:r>
      <w:r>
        <w:t>36 rozporządzenia (UE) 2018/1046 podważa decyzję</w:t>
      </w:r>
      <w:r w:rsidR="00C24B90">
        <w:t xml:space="preserve"> o prz</w:t>
      </w:r>
      <w:r>
        <w:t>yznaniu dotacji;</w:t>
      </w:r>
    </w:p>
    <w:p w14:paraId="32DEAF22" w14:textId="77777777" w:rsidR="00C75428" w:rsidRPr="00345713" w:rsidRDefault="00290C39" w:rsidP="00402D09">
      <w:pPr>
        <w:numPr>
          <w:ilvl w:val="0"/>
          <w:numId w:val="32"/>
        </w:numPr>
        <w:spacing w:after="240" w:afterAutospacing="0"/>
        <w:ind w:left="714" w:hanging="357"/>
      </w:pPr>
      <w:r>
        <w:t>w wyniku wypowiedzenia udziału jednego beneficjenta lub większej ich liczby niezbędne modyfikacje Umowy podważyłyby decyzję</w:t>
      </w:r>
      <w:r w:rsidR="00C24B90">
        <w:t xml:space="preserve"> o prz</w:t>
      </w:r>
      <w:r>
        <w:t>yznaniu dotacji lub doprowadziłyby do nierównego traktowania wnioskodawców;</w:t>
      </w:r>
    </w:p>
    <w:p w14:paraId="23F177A1" w14:textId="77777777" w:rsidR="00C75428" w:rsidRPr="00345713" w:rsidRDefault="00C75428" w:rsidP="00402D09">
      <w:pPr>
        <w:numPr>
          <w:ilvl w:val="0"/>
          <w:numId w:val="32"/>
        </w:numPr>
        <w:spacing w:after="240" w:afterAutospacing="0"/>
        <w:ind w:left="714" w:hanging="357"/>
      </w:pPr>
      <w:r>
        <w:t>beneficjenci, dowolna osoba powiązana lub dowolna osoba fizyczna, która jest niezbędna do przyznania dotacji lub podczas realizacji Umowy dopuściły się poważnego naruszenia obowiązków,</w:t>
      </w:r>
      <w:r w:rsidR="00C24B90">
        <w:t xml:space="preserve"> w tym</w:t>
      </w:r>
      <w:r>
        <w:t xml:space="preserve"> nieprawidłowości</w:t>
      </w:r>
      <w:r w:rsidR="00C24B90">
        <w:t xml:space="preserve"> w rea</w:t>
      </w:r>
      <w:r>
        <w:t>lizacji działania opisanego</w:t>
      </w:r>
      <w:r w:rsidR="00C24B90">
        <w:t xml:space="preserve"> w zał</w:t>
      </w:r>
      <w:r>
        <w:t>ączniku I;</w:t>
      </w:r>
    </w:p>
    <w:p w14:paraId="018731E2" w14:textId="77777777" w:rsidR="00915330" w:rsidRPr="00345713" w:rsidRDefault="00652E94" w:rsidP="003A2A37">
      <w:pPr>
        <w:numPr>
          <w:ilvl w:val="0"/>
          <w:numId w:val="32"/>
        </w:numPr>
      </w:pPr>
      <w:r>
        <w:t>realizacja działania została wstrzymana lub zawieszona</w:t>
      </w:r>
      <w:r w:rsidR="00C24B90">
        <w:t xml:space="preserve"> z pow</w:t>
      </w:r>
      <w:r>
        <w:t>odu działania siły wyższej lub wyjątkowych okoliczności i:</w:t>
      </w:r>
    </w:p>
    <w:p w14:paraId="3A916F23" w14:textId="77777777" w:rsidR="00915330" w:rsidRPr="00345713" w:rsidRDefault="00915330" w:rsidP="003A2A37">
      <w:pPr>
        <w:numPr>
          <w:ilvl w:val="0"/>
          <w:numId w:val="33"/>
        </w:numPr>
        <w:ind w:left="1418" w:hanging="425"/>
      </w:pPr>
      <w:r>
        <w:t>wznowienie realizacji działania jest niemożliwe; lub</w:t>
      </w:r>
    </w:p>
    <w:p w14:paraId="786168DB" w14:textId="77777777" w:rsidR="00915330" w:rsidRPr="00345713" w:rsidRDefault="00915330" w:rsidP="003A2A37">
      <w:pPr>
        <w:numPr>
          <w:ilvl w:val="0"/>
          <w:numId w:val="33"/>
        </w:numPr>
        <w:ind w:left="1418" w:hanging="425"/>
      </w:pPr>
      <w:r>
        <w:t>niezbędne zmiany Umowy podważałyby decyzję</w:t>
      </w:r>
      <w:r w:rsidR="00C24B90">
        <w:t xml:space="preserve"> o prz</w:t>
      </w:r>
      <w:r>
        <w:t>yznaniu dotacji lub byłyby sprzeczne</w:t>
      </w:r>
      <w:r w:rsidR="00C24B90">
        <w:t xml:space="preserve"> z zas</w:t>
      </w:r>
      <w:r>
        <w:t>adą równego traktowania wnioskodawców;</w:t>
      </w:r>
    </w:p>
    <w:p w14:paraId="4C008861" w14:textId="77777777" w:rsidR="00510B04" w:rsidRDefault="00586E86" w:rsidP="003A2A37">
      <w:pPr>
        <w:numPr>
          <w:ilvl w:val="0"/>
          <w:numId w:val="32"/>
        </w:numPr>
      </w:pPr>
      <w:r>
        <w:t>beneficjent lub osoba fizyczna lub prawna, która ponosi nieograniczoną odpowiedzialność za długi beneficjenta:</w:t>
      </w:r>
    </w:p>
    <w:p w14:paraId="4B7CBD97" w14:textId="77777777" w:rsidR="006E61C8" w:rsidRDefault="006E61C8" w:rsidP="003A2A37">
      <w:pPr>
        <w:numPr>
          <w:ilvl w:val="0"/>
          <w:numId w:val="79"/>
        </w:numPr>
        <w:ind w:left="1418" w:hanging="425"/>
      </w:pPr>
      <w:r>
        <w:t>ogłosili upadłość, prowadzone jest wobec nich postępowanie upadłościowe lub likwidacyjne, ich aktywami zarządza likwidator lub sąd, zawarli oni układ</w:t>
      </w:r>
      <w:r w:rsidR="00C24B90">
        <w:t xml:space="preserve"> z wie</w:t>
      </w:r>
      <w:r>
        <w:t>rzycielami, ich działalność gospodarcza jest zawieszona lub znajdują się</w:t>
      </w:r>
      <w:r w:rsidR="00C24B90">
        <w:t xml:space="preserve"> w jak</w:t>
      </w:r>
      <w:r>
        <w:t>iejkolwiek analogicznej sytuacji wynikającej</w:t>
      </w:r>
      <w:r w:rsidR="00C24B90">
        <w:t xml:space="preserve"> z pod</w:t>
      </w:r>
      <w:r>
        <w:t>obnej procedury przewidzianej</w:t>
      </w:r>
      <w:r w:rsidR="00C24B90">
        <w:t xml:space="preserve"> w pra</w:t>
      </w:r>
      <w:r>
        <w:t>wie unijnym lub krajowym;</w:t>
      </w:r>
    </w:p>
    <w:p w14:paraId="0B822738" w14:textId="77777777" w:rsidR="00510B04" w:rsidRDefault="00510B04" w:rsidP="003A2A37">
      <w:pPr>
        <w:numPr>
          <w:ilvl w:val="0"/>
          <w:numId w:val="79"/>
        </w:numPr>
        <w:ind w:left="1418" w:hanging="425"/>
      </w:pPr>
      <w:r>
        <w:t>naruszyli swoje obowiązki związane</w:t>
      </w:r>
      <w:r w:rsidR="00C24B90">
        <w:t xml:space="preserve"> z zap</w:t>
      </w:r>
      <w:r>
        <w:t>łatą podatków lub składek na ubezpieczenie społeczne zgodnie</w:t>
      </w:r>
      <w:r w:rsidR="00C24B90">
        <w:t xml:space="preserve"> z obo</w:t>
      </w:r>
      <w:r>
        <w:t>wiązującym prawem;</w:t>
      </w:r>
    </w:p>
    <w:p w14:paraId="1B274F43" w14:textId="77777777" w:rsidR="00F51457" w:rsidRDefault="00586E86" w:rsidP="003A2A37">
      <w:pPr>
        <w:numPr>
          <w:ilvl w:val="0"/>
          <w:numId w:val="32"/>
        </w:numPr>
      </w:pPr>
      <w:r>
        <w:t>beneficjent, dowolna osoba powiązana lub dowolna osoba fizyczna, którzy są niezbędni do przyznania zamówienia lub realizacji Umowy, dopuścili się:</w:t>
      </w:r>
    </w:p>
    <w:p w14:paraId="4E186E7E" w14:textId="77777777" w:rsidR="009444F3" w:rsidRDefault="009444F3" w:rsidP="003A2A37">
      <w:pPr>
        <w:numPr>
          <w:ilvl w:val="0"/>
          <w:numId w:val="80"/>
        </w:numPr>
        <w:ind w:left="1418" w:hanging="425"/>
      </w:pPr>
      <w:r>
        <w:lastRenderedPageBreak/>
        <w:t>poważnego wykroczenia zawodowego udowodnionego dowolnymi środkami;</w:t>
      </w:r>
    </w:p>
    <w:p w14:paraId="1A53B79C" w14:textId="77777777" w:rsidR="009444F3" w:rsidRDefault="009444F3" w:rsidP="003A2A37">
      <w:pPr>
        <w:numPr>
          <w:ilvl w:val="0"/>
          <w:numId w:val="80"/>
        </w:numPr>
        <w:ind w:left="1418" w:hanging="425"/>
      </w:pPr>
      <w:r>
        <w:t>nadużycia finansowego;</w:t>
      </w:r>
    </w:p>
    <w:p w14:paraId="18B79B5D" w14:textId="77777777" w:rsidR="009444F3" w:rsidRDefault="009444F3" w:rsidP="003A2A37">
      <w:pPr>
        <w:numPr>
          <w:ilvl w:val="0"/>
          <w:numId w:val="80"/>
        </w:numPr>
        <w:ind w:left="1418" w:hanging="425"/>
      </w:pPr>
      <w:r>
        <w:t>korupcji;</w:t>
      </w:r>
    </w:p>
    <w:p w14:paraId="56D00165" w14:textId="77777777" w:rsidR="009444F3" w:rsidRDefault="009444F3" w:rsidP="003A2A37">
      <w:pPr>
        <w:numPr>
          <w:ilvl w:val="0"/>
          <w:numId w:val="80"/>
        </w:numPr>
        <w:ind w:left="1418" w:hanging="425"/>
      </w:pPr>
      <w:r>
        <w:t>zachowania związanego</w:t>
      </w:r>
      <w:r w:rsidR="00C24B90">
        <w:t xml:space="preserve"> z org</w:t>
      </w:r>
      <w:r>
        <w:t>anizacjami przestępczymi;</w:t>
      </w:r>
    </w:p>
    <w:p w14:paraId="04D26BE4" w14:textId="77777777" w:rsidR="009444F3" w:rsidRDefault="009444F3" w:rsidP="003A2A37">
      <w:pPr>
        <w:numPr>
          <w:ilvl w:val="0"/>
          <w:numId w:val="80"/>
        </w:numPr>
        <w:ind w:left="1418" w:hanging="425"/>
      </w:pPr>
      <w:r>
        <w:t>prania pieniędzy;</w:t>
      </w:r>
    </w:p>
    <w:p w14:paraId="1781C865" w14:textId="77777777" w:rsidR="009444F3" w:rsidRDefault="009444F3" w:rsidP="003A2A37">
      <w:pPr>
        <w:numPr>
          <w:ilvl w:val="0"/>
          <w:numId w:val="80"/>
        </w:numPr>
        <w:ind w:left="1418" w:hanging="425"/>
      </w:pPr>
      <w:r>
        <w:t>przestępstw związanych</w:t>
      </w:r>
      <w:r w:rsidR="00C24B90">
        <w:t xml:space="preserve"> z ter</w:t>
      </w:r>
      <w:r>
        <w:t>roryzmem (w tym finansowania terroryzmu);</w:t>
      </w:r>
    </w:p>
    <w:p w14:paraId="68F197DE" w14:textId="77777777" w:rsidR="009444F3" w:rsidRDefault="001C5D13" w:rsidP="003A2A37">
      <w:pPr>
        <w:numPr>
          <w:ilvl w:val="0"/>
          <w:numId w:val="80"/>
        </w:numPr>
        <w:ind w:left="1418" w:hanging="425"/>
      </w:pPr>
      <w:r>
        <w:t>wykorzystywania pracy dzieci lub innych przestępstw związanych</w:t>
      </w:r>
      <w:r w:rsidR="00C24B90">
        <w:t xml:space="preserve"> z han</w:t>
      </w:r>
      <w:r>
        <w:t>dlem ludźmi;</w:t>
      </w:r>
    </w:p>
    <w:p w14:paraId="175BFCF0" w14:textId="77777777" w:rsidR="00C75428" w:rsidRPr="00345713" w:rsidRDefault="00C75428" w:rsidP="005D2C4C">
      <w:pPr>
        <w:numPr>
          <w:ilvl w:val="0"/>
          <w:numId w:val="32"/>
        </w:numPr>
        <w:spacing w:after="240" w:afterAutospacing="0"/>
        <w:ind w:left="714" w:hanging="357"/>
      </w:pPr>
      <w:r>
        <w:t>Komisja dysponuje dowodami wskazującymi, że beneficjent, dowolna osoba powiązana lub dowolna osoba fizyczna, którzy są niezbędni do przyznania zamówienia lub wykonania Umowy, dopuścili się nieprawidłowości, nadużyć finansowych lub naruszenia obowiązków</w:t>
      </w:r>
      <w:r w:rsidR="00C24B90">
        <w:t xml:space="preserve"> w pro</w:t>
      </w:r>
      <w:r>
        <w:t>cedurze przyznania dotacji lub podczas realizacji Umowy,</w:t>
      </w:r>
      <w:r w:rsidR="00C24B90">
        <w:t xml:space="preserve"> w tym</w:t>
      </w:r>
      <w:r>
        <w:t xml:space="preserve"> jeżeli ten beneficjent, ta osoba powiązana lub ta osoba fizyczna przekazali fałszywe informacje lub nie przekazali wymaganych informacji;</w:t>
      </w:r>
    </w:p>
    <w:p w14:paraId="3F033C22" w14:textId="77777777" w:rsidR="002433CF" w:rsidRDefault="00C75428" w:rsidP="005D2C4C">
      <w:pPr>
        <w:numPr>
          <w:ilvl w:val="0"/>
          <w:numId w:val="32"/>
        </w:numPr>
        <w:spacing w:after="240" w:afterAutospacing="0"/>
        <w:ind w:left="714" w:hanging="357"/>
      </w:pPr>
      <w:r>
        <w:t>Komisja dysponuje dowodami wskazującymi, że beneficjent dopuścił się systemowych lub powtarzających się nieprawidłowości, nadużyć finansowych lub poważnego naruszenia obowiązków spoczywających na nim</w:t>
      </w:r>
      <w:r w:rsidR="00C24B90">
        <w:t xml:space="preserve"> w zwi</w:t>
      </w:r>
      <w:r>
        <w:t>ązku</w:t>
      </w:r>
      <w:r w:rsidR="00C24B90">
        <w:t xml:space="preserve"> z inn</w:t>
      </w:r>
      <w:r>
        <w:t xml:space="preserve">ymi dotacjami finansowanymi przez Unię lub </w:t>
      </w:r>
      <w:proofErr w:type="spellStart"/>
      <w:r>
        <w:t>Euratom</w:t>
      </w:r>
      <w:proofErr w:type="spellEnd"/>
      <w:r>
        <w:t>, których udzielono mu na podobnych warunkach,</w:t>
      </w:r>
      <w:r w:rsidR="00C24B90">
        <w:t xml:space="preserve"> a wsp</w:t>
      </w:r>
      <w:r>
        <w:t>omniane nieprawidłowości, nadużycia finansowe lub naruszenie obowiązków wywierają istotny wpływ na przedmiotową dotację;</w:t>
      </w:r>
    </w:p>
    <w:p w14:paraId="7A26BFFC" w14:textId="77777777" w:rsidR="002433CF" w:rsidRDefault="002433CF" w:rsidP="005D2C4C">
      <w:pPr>
        <w:numPr>
          <w:ilvl w:val="0"/>
          <w:numId w:val="32"/>
        </w:numPr>
        <w:spacing w:after="240" w:afterAutospacing="0"/>
        <w:ind w:left="714" w:hanging="357"/>
      </w:pPr>
      <w:r>
        <w:t>beneficjent, dowolna osoba powiązana lub dowolna osoba fizyczna, którzy są niezbędni do przyznania dotacji lub podczas realizacji Umowy, utworzyli podmiot</w:t>
      </w:r>
      <w:r w:rsidR="00C24B90">
        <w:t xml:space="preserve"> w inn</w:t>
      </w:r>
      <w:r>
        <w:t>ej jurysdykcji</w:t>
      </w:r>
      <w:r w:rsidR="00C24B90">
        <w:t xml:space="preserve"> z zam</w:t>
      </w:r>
      <w:r>
        <w:t>iarem ominięcia obowiązków podatkowych, socjalnych lub wszelkich innych obowiązków prawnych obowiązujących</w:t>
      </w:r>
      <w:r w:rsidR="00C24B90">
        <w:t xml:space="preserve"> w jur</w:t>
      </w:r>
      <w:r>
        <w:t>ysdykcji ich siedziby statutowej, zarządu lub głównego przedsiębiorstwa;</w:t>
      </w:r>
    </w:p>
    <w:p w14:paraId="3BA02C5F" w14:textId="77777777" w:rsidR="00C75428" w:rsidRPr="00345713" w:rsidRDefault="002433CF" w:rsidP="005D2C4C">
      <w:pPr>
        <w:numPr>
          <w:ilvl w:val="0"/>
          <w:numId w:val="32"/>
        </w:numPr>
        <w:spacing w:after="240" w:afterAutospacing="0"/>
        <w:ind w:left="714" w:hanging="357"/>
      </w:pPr>
      <w:r>
        <w:t>beneficjent lub dowolna osoba powiązana, którzy są niezbędni do przyznania zamówienia lub realizacji Umowy, zostali utworzeni</w:t>
      </w:r>
      <w:r w:rsidR="00C24B90">
        <w:t xml:space="preserve"> z zam</w:t>
      </w:r>
      <w:r>
        <w:t>iarem,</w:t>
      </w:r>
      <w:r w:rsidR="00C24B90">
        <w:t xml:space="preserve"> o któ</w:t>
      </w:r>
      <w:r>
        <w:t>rym mowa</w:t>
      </w:r>
      <w:r w:rsidR="00C24B90">
        <w:t xml:space="preserve"> w </w:t>
      </w:r>
      <w:r w:rsidR="00C24B90" w:rsidRPr="00C24B90">
        <w:t>lit</w:t>
      </w:r>
      <w:r w:rsidRPr="00C24B90">
        <w:t>.</w:t>
      </w:r>
      <w:r w:rsidR="00C24B90" w:rsidRPr="00C24B90">
        <w:t> </w:t>
      </w:r>
      <w:r w:rsidRPr="00C24B90">
        <w:t>i)</w:t>
      </w:r>
      <w:r>
        <w:t>, lub</w:t>
      </w:r>
    </w:p>
    <w:p w14:paraId="0AD2FBE0" w14:textId="77777777" w:rsidR="00D07585" w:rsidRDefault="00D803CC" w:rsidP="003A2A37">
      <w:pPr>
        <w:numPr>
          <w:ilvl w:val="0"/>
          <w:numId w:val="32"/>
        </w:numPr>
      </w:pPr>
      <w:r>
        <w:t>Komisja za pośrednictwem koordynatora przekazała beneficjentowi formalne zawiadomienie, zwracając się do niego</w:t>
      </w:r>
      <w:r w:rsidR="00C24B90">
        <w:t xml:space="preserve"> o zak</w:t>
      </w:r>
      <w:r>
        <w:t>ończenie udziału podmiotu</w:t>
      </w:r>
      <w:r w:rsidR="00C24B90">
        <w:t xml:space="preserve"> z nim</w:t>
      </w:r>
      <w:r>
        <w:t xml:space="preserve"> powiązanego, ponieważ podmiot ten znajduje się</w:t>
      </w:r>
      <w:r w:rsidR="00C24B90">
        <w:t xml:space="preserve"> w syt</w:t>
      </w:r>
      <w:r>
        <w:t>uacji przewidzianej</w:t>
      </w:r>
      <w:r w:rsidR="00C24B90">
        <w:t xml:space="preserve"> w </w:t>
      </w:r>
      <w:r w:rsidR="00C24B90" w:rsidRPr="00C24B90">
        <w:t>lit</w:t>
      </w:r>
      <w:r w:rsidRPr="00C24B90">
        <w:t>.</w:t>
      </w:r>
      <w:r w:rsidR="00C24B90" w:rsidRPr="00C24B90">
        <w:t> </w:t>
      </w:r>
      <w:r w:rsidRPr="00C24B90">
        <w:t>e)</w:t>
      </w:r>
      <w:r>
        <w:t>-j),</w:t>
      </w:r>
      <w:r w:rsidR="00C24B90">
        <w:t xml:space="preserve"> a ben</w:t>
      </w:r>
      <w:r>
        <w:t>eficjent nie złożył wniosku</w:t>
      </w:r>
      <w:r w:rsidR="00C24B90">
        <w:t xml:space="preserve"> o zmi</w:t>
      </w:r>
      <w:r>
        <w:t>anę, kończąc tym samym udział podmiotu</w:t>
      </w:r>
      <w:r w:rsidR="00C24B90">
        <w:t xml:space="preserve"> w Umo</w:t>
      </w:r>
      <w:r>
        <w:t>wie</w:t>
      </w:r>
      <w:r w:rsidR="00C24B90">
        <w:t xml:space="preserve"> i pon</w:t>
      </w:r>
      <w:r>
        <w:t>ownie rozdzielając zadania.</w:t>
      </w:r>
    </w:p>
    <w:p w14:paraId="5B157F2A" w14:textId="77777777" w:rsidR="00F2700A" w:rsidRPr="00D047ED" w:rsidRDefault="005C3A15" w:rsidP="001A2CAB">
      <w:pPr>
        <w:pStyle w:val="Nagwek4"/>
      </w:pPr>
      <w:r>
        <w:t xml:space="preserve">II.17.3.2 </w:t>
      </w:r>
      <w:r>
        <w:tab/>
        <w:t>Procedura wypowiedzenia</w:t>
      </w:r>
    </w:p>
    <w:p w14:paraId="62BC5056" w14:textId="77777777" w:rsidR="00EA277E" w:rsidRPr="00345713" w:rsidRDefault="00F2700A" w:rsidP="000265E9">
      <w:r>
        <w:rPr>
          <w:b/>
        </w:rPr>
        <w:t>Etap 1</w:t>
      </w:r>
      <w:r>
        <w:t xml:space="preserve"> – przed wypowiedzeniem Umowy lub udziału jednemu beneficjentowi lub większej ich liczbie, Komisja musi przekazać koordynatorowi formalne zawiadomienie:</w:t>
      </w:r>
    </w:p>
    <w:p w14:paraId="6D62EA87" w14:textId="77777777" w:rsidR="00EA277E" w:rsidRPr="00345713" w:rsidRDefault="00EA277E" w:rsidP="00F81053">
      <w:pPr>
        <w:numPr>
          <w:ilvl w:val="1"/>
          <w:numId w:val="7"/>
        </w:numPr>
      </w:pPr>
      <w:r>
        <w:t>w którym poinformuje go o:</w:t>
      </w:r>
    </w:p>
    <w:p w14:paraId="06CC1D7B" w14:textId="77777777" w:rsidR="00EA277E" w:rsidRPr="00345713" w:rsidRDefault="00EA277E" w:rsidP="003A2A37">
      <w:pPr>
        <w:numPr>
          <w:ilvl w:val="0"/>
          <w:numId w:val="34"/>
        </w:numPr>
        <w:ind w:firstLine="840"/>
      </w:pPr>
      <w:r>
        <w:t>zamiarze wypowiedzenia Umowy lub udziału;</w:t>
      </w:r>
    </w:p>
    <w:p w14:paraId="5F93A277" w14:textId="77777777" w:rsidR="00EA277E" w:rsidRPr="00345713" w:rsidRDefault="00EA277E" w:rsidP="003A2A37">
      <w:pPr>
        <w:numPr>
          <w:ilvl w:val="0"/>
          <w:numId w:val="34"/>
        </w:numPr>
        <w:ind w:firstLine="840"/>
      </w:pPr>
      <w:r>
        <w:t>przyczynach wypowiedzenia; oraz</w:t>
      </w:r>
    </w:p>
    <w:p w14:paraId="3DCCA492" w14:textId="77777777" w:rsidR="0022355E" w:rsidRPr="00345713" w:rsidRDefault="00892F5A" w:rsidP="00F81053">
      <w:pPr>
        <w:numPr>
          <w:ilvl w:val="1"/>
          <w:numId w:val="7"/>
        </w:numPr>
      </w:pPr>
      <w:r>
        <w:t>zwróci się do niego, aby</w:t>
      </w:r>
      <w:r w:rsidR="00C24B90">
        <w:t xml:space="preserve"> w ter</w:t>
      </w:r>
      <w:r>
        <w:t>minie 45 dni kalendarzowych od dnia otrzymania formalnego zawiadomienia:</w:t>
      </w:r>
    </w:p>
    <w:p w14:paraId="6ED239BF" w14:textId="77777777" w:rsidR="0022355E" w:rsidRPr="00345713" w:rsidRDefault="00EA277E" w:rsidP="003A2A37">
      <w:pPr>
        <w:numPr>
          <w:ilvl w:val="0"/>
          <w:numId w:val="35"/>
        </w:numPr>
        <w:ind w:left="2127" w:hanging="567"/>
      </w:pPr>
      <w:r>
        <w:lastRenderedPageBreak/>
        <w:t>przedstawił uwagi</w:t>
      </w:r>
      <w:r w:rsidR="00C24B90">
        <w:t xml:space="preserve"> w imi</w:t>
      </w:r>
      <w:r>
        <w:t>eniu wszystkich beneficjentów; oraz</w:t>
      </w:r>
    </w:p>
    <w:p w14:paraId="11FE43E2" w14:textId="77777777" w:rsidR="00EA277E" w:rsidRPr="00345713" w:rsidRDefault="00EA277E" w:rsidP="003A2A37">
      <w:pPr>
        <w:numPr>
          <w:ilvl w:val="0"/>
          <w:numId w:val="35"/>
        </w:numPr>
        <w:ind w:left="2127" w:hanging="567"/>
      </w:pPr>
      <w:r>
        <w:t>w przypadku określonym</w:t>
      </w:r>
      <w:r w:rsidR="00C24B90">
        <w:t xml:space="preserve"> w art</w:t>
      </w:r>
      <w:r>
        <w:t xml:space="preserve">. II.17.3.1 </w:t>
      </w:r>
      <w:r w:rsidRPr="00C24B90">
        <w:t>lit.</w:t>
      </w:r>
      <w:r w:rsidR="00C24B90" w:rsidRPr="00C24B90">
        <w:t> </w:t>
      </w:r>
      <w:r w:rsidRPr="00C24B90">
        <w:t>c)</w:t>
      </w:r>
      <w:r>
        <w:t>, aby poinformował Komisję</w:t>
      </w:r>
      <w:r w:rsidR="00C24B90">
        <w:t xml:space="preserve"> o śro</w:t>
      </w:r>
      <w:r>
        <w:t>dkach służących zapewnieniu zgodności ze zobowiązaniami wynikającymi</w:t>
      </w:r>
      <w:r w:rsidR="00C24B90">
        <w:t xml:space="preserve"> z Umo</w:t>
      </w:r>
      <w:r>
        <w:t>wy.</w:t>
      </w:r>
    </w:p>
    <w:p w14:paraId="627EF35D" w14:textId="77777777" w:rsidR="003C1452" w:rsidRPr="00345713" w:rsidRDefault="00F2700A" w:rsidP="000265E9">
      <w:r>
        <w:rPr>
          <w:b/>
        </w:rPr>
        <w:t>Etap 2</w:t>
      </w:r>
      <w:r>
        <w:t xml:space="preserve"> – jeżeli Komisja nie otrzyma żadnych uwag lub pomimo otrzymania takich uwag podejmie decyzję</w:t>
      </w:r>
      <w:r w:rsidR="00C24B90">
        <w:t xml:space="preserve"> o kon</w:t>
      </w:r>
      <w:r>
        <w:t>tynuowaniu procedury, przekaże koordynatorowi formalne zawiadomienie,</w:t>
      </w:r>
      <w:r w:rsidR="00C24B90">
        <w:t xml:space="preserve"> w któ</w:t>
      </w:r>
      <w:r>
        <w:t>rym poinformuje go</w:t>
      </w:r>
      <w:r w:rsidR="00C24B90">
        <w:t xml:space="preserve"> o wyp</w:t>
      </w:r>
      <w:r>
        <w:t>owiedzeniu oraz</w:t>
      </w:r>
      <w:r w:rsidR="00C24B90">
        <w:t xml:space="preserve"> o dac</w:t>
      </w:r>
      <w:r>
        <w:t>ie jego wejścia</w:t>
      </w:r>
      <w:r w:rsidR="00C24B90">
        <w:t xml:space="preserve"> w życ</w:t>
      </w:r>
      <w:r>
        <w:t>ie. Koordynator ma obowiązek niezwłocznie powiadomić pozostałych beneficjentów</w:t>
      </w:r>
      <w:r w:rsidR="00C24B90">
        <w:t xml:space="preserve"> o wyp</w:t>
      </w:r>
      <w:r>
        <w:t>owiedzeniu.</w:t>
      </w:r>
    </w:p>
    <w:p w14:paraId="3B4B34D1" w14:textId="77777777" w:rsidR="00EA277E" w:rsidRPr="00345713" w:rsidRDefault="00EA277E" w:rsidP="000265E9">
      <w:r>
        <w:t>W przeciwnym razie Komisja jest zobowiązana do przekazania koordynatorowi formalnego zawiadomienia,</w:t>
      </w:r>
      <w:r w:rsidR="00C24B90">
        <w:t xml:space="preserve"> w któ</w:t>
      </w:r>
      <w:r>
        <w:t>rym poinformuje go, że procedura wypowiedzenia nie będzie kontynuowana.</w:t>
      </w:r>
    </w:p>
    <w:p w14:paraId="4F35FD55" w14:textId="77777777" w:rsidR="00EA277E" w:rsidRPr="00345713" w:rsidRDefault="00EA277E" w:rsidP="000265E9">
      <w:r>
        <w:t>Wypowiedzenie staje się skuteczne:</w:t>
      </w:r>
    </w:p>
    <w:p w14:paraId="654483B0" w14:textId="77777777" w:rsidR="00EA277E" w:rsidRPr="00345713" w:rsidRDefault="00EA277E" w:rsidP="003A2A37">
      <w:pPr>
        <w:numPr>
          <w:ilvl w:val="0"/>
          <w:numId w:val="36"/>
        </w:numPr>
      </w:pPr>
      <w:r>
        <w:t>w przypadku wypowiedzenia określonego</w:t>
      </w:r>
      <w:r w:rsidR="00C24B90">
        <w:t xml:space="preserve"> w art</w:t>
      </w:r>
      <w:r>
        <w:t xml:space="preserve">. II.17.3.1 </w:t>
      </w:r>
      <w:r w:rsidRPr="00C24B90">
        <w:t>lit.</w:t>
      </w:r>
      <w:r w:rsidR="00C24B90" w:rsidRPr="00C24B90">
        <w:t> </w:t>
      </w:r>
      <w:r w:rsidRPr="00C24B90">
        <w:t>a)</w:t>
      </w:r>
      <w:r>
        <w:t>, b), c) i e):</w:t>
      </w:r>
      <w:r w:rsidR="00C24B90">
        <w:t xml:space="preserve"> w dni</w:t>
      </w:r>
      <w:r>
        <w:t>u określonym</w:t>
      </w:r>
      <w:r w:rsidR="00C24B90">
        <w:t xml:space="preserve"> w for</w:t>
      </w:r>
      <w:r>
        <w:t>malnym zawiadomieniu</w:t>
      </w:r>
      <w:r w:rsidR="00C24B90">
        <w:t xml:space="preserve"> o wyp</w:t>
      </w:r>
      <w:r>
        <w:t>owiedzeniu,</w:t>
      </w:r>
      <w:r w:rsidR="00C24B90">
        <w:t xml:space="preserve"> o któ</w:t>
      </w:r>
      <w:r>
        <w:t>rym mowa</w:t>
      </w:r>
      <w:r w:rsidR="00C24B90">
        <w:t xml:space="preserve"> w aka</w:t>
      </w:r>
      <w:r>
        <w:t>picie drugim (tj.</w:t>
      </w:r>
      <w:r w:rsidR="00C24B90">
        <w:t xml:space="preserve"> w ram</w:t>
      </w:r>
      <w:r>
        <w:t>ach powyższego etapu 2);</w:t>
      </w:r>
    </w:p>
    <w:p w14:paraId="107CE0AA" w14:textId="77777777" w:rsidR="00EA277E" w:rsidRPr="00345713" w:rsidRDefault="00EA277E" w:rsidP="003A2A37">
      <w:pPr>
        <w:numPr>
          <w:ilvl w:val="0"/>
          <w:numId w:val="36"/>
        </w:numPr>
      </w:pPr>
      <w:r>
        <w:t>w przypadku wypowiedzenia określonego</w:t>
      </w:r>
      <w:r w:rsidR="00C24B90">
        <w:t xml:space="preserve"> w art</w:t>
      </w:r>
      <w:r>
        <w:t xml:space="preserve">. II.17.3.1 </w:t>
      </w:r>
      <w:r w:rsidRPr="00C24B90">
        <w:t>lit.</w:t>
      </w:r>
      <w:r w:rsidR="00C24B90" w:rsidRPr="00C24B90">
        <w:t> </w:t>
      </w:r>
      <w:r w:rsidRPr="00C24B90">
        <w:t>d)</w:t>
      </w:r>
      <w:r>
        <w:t>, f) i g)-j):</w:t>
      </w:r>
      <w:r w:rsidR="00C24B90">
        <w:t xml:space="preserve"> w dni</w:t>
      </w:r>
      <w:r>
        <w:t>u następującym po otrzymaniu przez koordynatora formalnego zawiadomienia</w:t>
      </w:r>
      <w:r w:rsidR="00C24B90">
        <w:t xml:space="preserve"> o wyp</w:t>
      </w:r>
      <w:r>
        <w:t>owiedzeniu,</w:t>
      </w:r>
      <w:r w:rsidR="00C24B90">
        <w:t xml:space="preserve"> o któ</w:t>
      </w:r>
      <w:r>
        <w:t>rym mowa</w:t>
      </w:r>
      <w:r w:rsidR="00C24B90">
        <w:t xml:space="preserve"> w aka</w:t>
      </w:r>
      <w:r>
        <w:t>picie drugim (tj.</w:t>
      </w:r>
      <w:r w:rsidR="00C24B90">
        <w:t xml:space="preserve"> w ram</w:t>
      </w:r>
      <w:r>
        <w:t>ach powyższego etapu 2).</w:t>
      </w:r>
    </w:p>
    <w:p w14:paraId="21C3988D" w14:textId="77777777" w:rsidR="00C75428" w:rsidRPr="00345713" w:rsidRDefault="009B606A" w:rsidP="000265E9">
      <w:pPr>
        <w:pStyle w:val="Nagwek3"/>
      </w:pPr>
      <w:bookmarkStart w:id="123" w:name="_Toc441250854"/>
      <w:bookmarkStart w:id="124" w:name="_Toc530496948"/>
      <w:bookmarkStart w:id="125" w:name="_Toc30764049"/>
      <w:r>
        <w:t>II.17.4</w:t>
      </w:r>
      <w:r>
        <w:tab/>
        <w:t>Skutki wypowiedzenia</w:t>
      </w:r>
      <w:bookmarkEnd w:id="123"/>
      <w:bookmarkEnd w:id="124"/>
      <w:bookmarkEnd w:id="125"/>
    </w:p>
    <w:p w14:paraId="67C014F0" w14:textId="77777777" w:rsidR="00DB22DC" w:rsidRPr="00D047ED" w:rsidRDefault="00ED49D1" w:rsidP="000265E9">
      <w:pPr>
        <w:pStyle w:val="Nagwek4"/>
      </w:pPr>
      <w:r>
        <w:t>II.17.4.1 Skutki wypowiedzenia Umowy:</w:t>
      </w:r>
    </w:p>
    <w:p w14:paraId="4EF03279" w14:textId="77777777" w:rsidR="00371C5A" w:rsidRPr="00345713" w:rsidRDefault="00DB22DC" w:rsidP="000265E9">
      <w:r>
        <w:t>Koordynator musi złożyć wniosek</w:t>
      </w:r>
      <w:r w:rsidR="00C24B90">
        <w:t xml:space="preserve"> o pła</w:t>
      </w:r>
      <w:r>
        <w:t>tność salda</w:t>
      </w:r>
      <w:r w:rsidR="00C24B90">
        <w:t xml:space="preserve"> w ter</w:t>
      </w:r>
      <w:r>
        <w:t>minie 60 dni kalendarzowych od momentu,</w:t>
      </w:r>
      <w:r w:rsidR="00C24B90">
        <w:t xml:space="preserve"> w któ</w:t>
      </w:r>
      <w:r>
        <w:t>rym wypowiedzenie stanie się skuteczne, jak określono</w:t>
      </w:r>
      <w:r w:rsidR="00C24B90">
        <w:t xml:space="preserve"> w art</w:t>
      </w:r>
      <w:r>
        <w:t>. I.4.4.</w:t>
      </w:r>
    </w:p>
    <w:p w14:paraId="6FCD2C63" w14:textId="77777777" w:rsidR="00652E94" w:rsidRPr="00345713" w:rsidRDefault="00652E94" w:rsidP="000265E9">
      <w:r>
        <w:t>Jeżeli Komisja nie otrzyma wniosku</w:t>
      </w:r>
      <w:r w:rsidR="00C24B90">
        <w:t xml:space="preserve"> o pła</w:t>
      </w:r>
      <w:r>
        <w:t>tność salda przed upływem wyżej wspomnianego terminu, jedynie koszty lub wkłady ujęte</w:t>
      </w:r>
      <w:r w:rsidR="00C24B90">
        <w:t xml:space="preserve"> w zat</w:t>
      </w:r>
      <w:r>
        <w:t>wierdzonym raporcie okresowym i,</w:t>
      </w:r>
      <w:r w:rsidR="00C24B90">
        <w:t xml:space="preserve"> w sto</w:t>
      </w:r>
      <w:r>
        <w:t>sownych przypadkach,</w:t>
      </w:r>
      <w:r w:rsidR="00C24B90">
        <w:t xml:space="preserve"> w zat</w:t>
      </w:r>
      <w:r>
        <w:t>wierdzonym sprawozdaniu finansowym podlegają zwrotowi lub są objęte dotacją.</w:t>
      </w:r>
    </w:p>
    <w:p w14:paraId="2D2CC967" w14:textId="77777777" w:rsidR="00DB22DC" w:rsidRPr="00345713" w:rsidRDefault="00371C5A" w:rsidP="000265E9">
      <w:r>
        <w:t>Jeżeli Komisja wypowie Umowę</w:t>
      </w:r>
      <w:r w:rsidR="00C24B90">
        <w:t xml:space="preserve"> z pow</w:t>
      </w:r>
      <w:r>
        <w:t>odu naruszenia przez koordynatora jego obowiązku polegającego na złożeniu wniosku</w:t>
      </w:r>
      <w:r w:rsidR="00C24B90">
        <w:t xml:space="preserve"> o pła</w:t>
      </w:r>
      <w:r>
        <w:t>tność, po wypowiedzeniu Umowy koordynator nie może składać żadnych wniosków</w:t>
      </w:r>
      <w:r w:rsidR="00C24B90">
        <w:t xml:space="preserve"> o pła</w:t>
      </w:r>
      <w:r>
        <w:t>tność</w:t>
      </w:r>
      <w:r w:rsidR="00C24B90">
        <w:t>. W tak</w:t>
      </w:r>
      <w:r>
        <w:t>im przypadku zastosowanie ma akapit drugi.</w:t>
      </w:r>
    </w:p>
    <w:p w14:paraId="2A373C93" w14:textId="77777777" w:rsidR="00DB22DC" w:rsidRPr="00345713" w:rsidRDefault="00DB22DC" w:rsidP="000265E9">
      <w:r>
        <w:t>Komisja oblicza ostateczną kwotę dotacji zgodnie</w:t>
      </w:r>
      <w:r w:rsidR="00C24B90">
        <w:t xml:space="preserve"> z art</w:t>
      </w:r>
      <w:r>
        <w:t>. II.25 oraz saldo zgodnie</w:t>
      </w:r>
      <w:r w:rsidR="00C24B90">
        <w:t xml:space="preserve"> z art</w:t>
      </w:r>
      <w:r>
        <w:t>. I.</w:t>
      </w:r>
      <w:r w:rsidR="00496B83">
        <w:t>4.5</w:t>
      </w:r>
      <w:r>
        <w:t>. na podstawie przedłożonych raportów. Należy uwzględnić jedynie działania podjęte przed dniem,</w:t>
      </w:r>
      <w:r w:rsidR="00C24B90">
        <w:t xml:space="preserve"> w któ</w:t>
      </w:r>
      <w:r>
        <w:t>rym wypowiedzenie staje się skuteczne, lub przed datą zakończenia okresu realizacji określonego</w:t>
      </w:r>
      <w:r w:rsidR="00C24B90">
        <w:t xml:space="preserve"> w art</w:t>
      </w:r>
      <w:r>
        <w:t>. I.2.2,</w:t>
      </w:r>
      <w:r w:rsidR="00C24B90">
        <w:t xml:space="preserve"> w zal</w:t>
      </w:r>
      <w:r>
        <w:t>eżności od tego, która</w:t>
      </w:r>
      <w:r w:rsidR="00C24B90">
        <w:t xml:space="preserve"> z tyc</w:t>
      </w:r>
      <w:r>
        <w:t>h dat jest wcześniejsza</w:t>
      </w:r>
      <w:r w:rsidR="00C24B90">
        <w:t>. W prz</w:t>
      </w:r>
      <w:r>
        <w:t>ypadku gdy dotacja przyjmuje formę zwrotu kosztów faktycznie poniesionych przewidzianych</w:t>
      </w:r>
      <w:r w:rsidR="00C24B90">
        <w:t xml:space="preserve"> w art</w:t>
      </w:r>
      <w:r>
        <w:t xml:space="preserve">. I.3.2 </w:t>
      </w:r>
      <w:r w:rsidRPr="00C24B90">
        <w:t>lit.</w:t>
      </w:r>
      <w:r w:rsidR="00C24B90" w:rsidRPr="00C24B90">
        <w:t> </w:t>
      </w:r>
      <w:r w:rsidRPr="00C24B90">
        <w:t>a)</w:t>
      </w:r>
      <w:r>
        <w:t xml:space="preserve"> </w:t>
      </w:r>
      <w:proofErr w:type="spellStart"/>
      <w:r>
        <w:t>ppkt</w:t>
      </w:r>
      <w:proofErr w:type="spellEnd"/>
      <w:r>
        <w:t xml:space="preserve"> (i), jedynie koszty poniesione, zanim wypowiedzenie stanie się skuteczne, podlegają zwrotowi lub są objęte dotacją. Koszty związane</w:t>
      </w:r>
      <w:r w:rsidR="00C24B90">
        <w:t xml:space="preserve"> z zam</w:t>
      </w:r>
      <w:r>
        <w:t>ówieniami, które miały zostać zrealizowane dopiero po wypowiedzeniu, nie są brane pod uwagę</w:t>
      </w:r>
      <w:r w:rsidR="00C24B90">
        <w:t xml:space="preserve"> i nie</w:t>
      </w:r>
      <w:r>
        <w:t xml:space="preserve"> podlegają zwrotowi ani nie są objęte dotacją. </w:t>
      </w:r>
    </w:p>
    <w:p w14:paraId="241BAA2C" w14:textId="77777777" w:rsidR="00197AFA" w:rsidRPr="00345713" w:rsidRDefault="00197AFA" w:rsidP="000265E9">
      <w:r>
        <w:lastRenderedPageBreak/>
        <w:t>Zgodnie</w:t>
      </w:r>
      <w:r w:rsidR="00C24B90">
        <w:t xml:space="preserve"> z art</w:t>
      </w:r>
      <w:r>
        <w:t>. II.25.4 Komisja może zmniejszyć dotację</w:t>
      </w:r>
      <w:r w:rsidR="00C24B90">
        <w:t xml:space="preserve"> w prz</w:t>
      </w:r>
      <w:r>
        <w:t xml:space="preserve">ypadku: </w:t>
      </w:r>
    </w:p>
    <w:p w14:paraId="545C1A7F" w14:textId="77777777" w:rsidR="00197AFA" w:rsidRPr="00345713" w:rsidRDefault="00197AFA" w:rsidP="003A2A37">
      <w:pPr>
        <w:numPr>
          <w:ilvl w:val="0"/>
          <w:numId w:val="37"/>
        </w:numPr>
      </w:pPr>
      <w:r>
        <w:t>nieprawidłowego wypowiedzenia Umowy przez koordynatora</w:t>
      </w:r>
      <w:r w:rsidR="00C24B90">
        <w:t xml:space="preserve"> w roz</w:t>
      </w:r>
      <w:r>
        <w:t>umieniu art. II.17.1; lub</w:t>
      </w:r>
    </w:p>
    <w:p w14:paraId="6C716309" w14:textId="77777777" w:rsidR="00197AFA" w:rsidRPr="00345713" w:rsidRDefault="00197AFA" w:rsidP="003A2A37">
      <w:pPr>
        <w:numPr>
          <w:ilvl w:val="0"/>
          <w:numId w:val="37"/>
        </w:numPr>
      </w:pPr>
      <w:r>
        <w:t>wypowiedzenia Umowy przez Komisję na jakiejkolwiek podstawie określonej</w:t>
      </w:r>
      <w:r w:rsidR="00C24B90">
        <w:t xml:space="preserve"> w art</w:t>
      </w:r>
      <w:r>
        <w:t xml:space="preserve">. II.17.3.1 </w:t>
      </w:r>
      <w:r w:rsidRPr="00C24B90">
        <w:t>lit.</w:t>
      </w:r>
      <w:r w:rsidR="00C24B90" w:rsidRPr="00C24B90">
        <w:t> </w:t>
      </w:r>
      <w:r w:rsidRPr="00C24B90">
        <w:t>c)</w:t>
      </w:r>
      <w:r>
        <w:t>, f), i g)-j).</w:t>
      </w:r>
    </w:p>
    <w:p w14:paraId="54F1357F" w14:textId="77777777" w:rsidR="00DB22DC" w:rsidRPr="00345713" w:rsidRDefault="00F76A47" w:rsidP="000265E9">
      <w:pPr>
        <w:rPr>
          <w:szCs w:val="24"/>
        </w:rPr>
      </w:pPr>
      <w:r>
        <w:t>Żadna ze stron nie może dochodzić odszkodowania</w:t>
      </w:r>
      <w:r w:rsidR="00C24B90">
        <w:t xml:space="preserve"> z pow</w:t>
      </w:r>
      <w:r>
        <w:t>odu wypowiedzenia Umowy przez drugą stronę.</w:t>
      </w:r>
    </w:p>
    <w:p w14:paraId="449E3243" w14:textId="77777777" w:rsidR="00595F23" w:rsidRPr="00345713" w:rsidRDefault="00595F23" w:rsidP="000265E9">
      <w:pPr>
        <w:rPr>
          <w:szCs w:val="24"/>
        </w:rPr>
      </w:pPr>
      <w:r>
        <w:t>Po wypowiedzeniu Umowy zobowiązania beneficjentów nadal mają zastosowanie,</w:t>
      </w:r>
      <w:r w:rsidR="00C24B90">
        <w:t xml:space="preserve"> w szc</w:t>
      </w:r>
      <w:r>
        <w:t>zególności te określone</w:t>
      </w:r>
      <w:r w:rsidR="00C24B90">
        <w:t xml:space="preserve"> w art</w:t>
      </w:r>
      <w:r>
        <w:t>. I.4, II.6, II.8, II.9, II.14, II.27, obowiązują również wszelkie dodatkowe postanowienia dotyczące korzystania</w:t>
      </w:r>
      <w:r w:rsidR="00C24B90">
        <w:t xml:space="preserve"> z wyn</w:t>
      </w:r>
      <w:r>
        <w:t>ików, jak określono</w:t>
      </w:r>
      <w:r w:rsidR="00C24B90">
        <w:t xml:space="preserve"> w War</w:t>
      </w:r>
      <w:r>
        <w:t>unkach Szczegółowych.</w:t>
      </w:r>
    </w:p>
    <w:p w14:paraId="03FB081D" w14:textId="77777777" w:rsidR="00DB22DC" w:rsidRPr="00345713" w:rsidRDefault="00DA3568" w:rsidP="000265E9">
      <w:pPr>
        <w:pStyle w:val="Nagwek4"/>
      </w:pPr>
      <w:r>
        <w:t>II.17.4.2 Skutki wypowiedzenia udziału jednego beneficjenta lub większej ich liczby:</w:t>
      </w:r>
    </w:p>
    <w:p w14:paraId="5072F6DC" w14:textId="77777777" w:rsidR="00CD1EF4" w:rsidRPr="00345713" w:rsidRDefault="00D047ED" w:rsidP="00D047ED">
      <w:pPr>
        <w:rPr>
          <w:szCs w:val="24"/>
        </w:rPr>
      </w:pPr>
      <w:r>
        <w:t>a) koordynator ma obowiązek złożyć wniosek</w:t>
      </w:r>
      <w:r w:rsidR="00C24B90">
        <w:t xml:space="preserve"> o zmi</w:t>
      </w:r>
      <w:r>
        <w:t>anę Umowy obejmujący:</w:t>
      </w:r>
    </w:p>
    <w:p w14:paraId="657523D8" w14:textId="77777777" w:rsidR="00CD1EF4" w:rsidRPr="00345713" w:rsidRDefault="00CD1EF4" w:rsidP="003A2A37">
      <w:pPr>
        <w:numPr>
          <w:ilvl w:val="0"/>
          <w:numId w:val="38"/>
        </w:numPr>
        <w:ind w:left="993" w:hanging="426"/>
      </w:pPr>
      <w:r>
        <w:t>wniosek dotyczący ponownego przydzielenia zadań beneficjenta lub beneficjentów, których dotyczy wypowiedzenie; oraz</w:t>
      </w:r>
    </w:p>
    <w:p w14:paraId="59ED1213" w14:textId="77777777" w:rsidR="003D58FD" w:rsidRPr="00345713" w:rsidRDefault="00CD1EF4" w:rsidP="003A2A37">
      <w:pPr>
        <w:numPr>
          <w:ilvl w:val="0"/>
          <w:numId w:val="38"/>
        </w:numPr>
        <w:ind w:left="993" w:hanging="426"/>
      </w:pPr>
      <w:r>
        <w:t>w stosownych przypadkach dodanie co najmniej jednego nowego beneficjenta lub większej liczby nowych beneficjentów</w:t>
      </w:r>
      <w:r w:rsidR="00C24B90">
        <w:t xml:space="preserve"> w cel</w:t>
      </w:r>
      <w:r>
        <w:t>u zastąpienia danego beneficjenta lub danych beneficjentów</w:t>
      </w:r>
      <w:r w:rsidR="00C24B90">
        <w:t xml:space="preserve"> w zak</w:t>
      </w:r>
      <w:r>
        <w:t>resie wszystkich ich praw</w:t>
      </w:r>
      <w:r w:rsidR="00C24B90">
        <w:t xml:space="preserve"> i obo</w:t>
      </w:r>
      <w:r>
        <w:t>wiązków wynikających</w:t>
      </w:r>
      <w:r w:rsidR="00C24B90">
        <w:t xml:space="preserve"> z Umo</w:t>
      </w:r>
      <w:r>
        <w:t>wy.</w:t>
      </w:r>
    </w:p>
    <w:p w14:paraId="76DB3F5C" w14:textId="77777777" w:rsidR="0094122A" w:rsidRPr="00345713" w:rsidRDefault="000612E1" w:rsidP="000265E9">
      <w:pPr>
        <w:rPr>
          <w:szCs w:val="24"/>
        </w:rPr>
      </w:pPr>
      <w:r>
        <w:t>Jeżeli Komisja wypowiada udział beneficjenta, koordynator ma obowiązek złożyć wniosek</w:t>
      </w:r>
      <w:r w:rsidR="00C24B90">
        <w:t xml:space="preserve"> o zmi</w:t>
      </w:r>
      <w:r>
        <w:t>anę Umowy</w:t>
      </w:r>
      <w:r w:rsidR="00C24B90">
        <w:t xml:space="preserve"> w ter</w:t>
      </w:r>
      <w:r>
        <w:t>minie 60 dni kalendarzowych od momentu,</w:t>
      </w:r>
      <w:r w:rsidR="00C24B90">
        <w:t xml:space="preserve"> w któ</w:t>
      </w:r>
      <w:r>
        <w:t>rym wypowiedzenie stanie się skuteczne.</w:t>
      </w:r>
    </w:p>
    <w:p w14:paraId="541AB22B" w14:textId="77777777" w:rsidR="0094122A" w:rsidRPr="00345713" w:rsidRDefault="000612E1" w:rsidP="000265E9">
      <w:pPr>
        <w:rPr>
          <w:szCs w:val="24"/>
        </w:rPr>
      </w:pPr>
      <w:r>
        <w:t>Jeżeli koordynator wypowiada udział beneficjenta, formalne zawiadomienie</w:t>
      </w:r>
      <w:r w:rsidR="00C24B90">
        <w:t xml:space="preserve"> o wyp</w:t>
      </w:r>
      <w:r>
        <w:t>owiedzeniu,</w:t>
      </w:r>
      <w:r w:rsidR="00C24B90">
        <w:t xml:space="preserve"> o któ</w:t>
      </w:r>
      <w:r>
        <w:t>rym mowa</w:t>
      </w:r>
      <w:r w:rsidR="00C24B90">
        <w:t xml:space="preserve"> w art</w:t>
      </w:r>
      <w:r>
        <w:t>. II.17.2, musi zawierać wniosek</w:t>
      </w:r>
      <w:r w:rsidR="00C24B90">
        <w:t xml:space="preserve"> o zmi</w:t>
      </w:r>
      <w:r>
        <w:t>anę Umowy.</w:t>
      </w:r>
    </w:p>
    <w:p w14:paraId="1F31FE4E" w14:textId="77777777" w:rsidR="00CD1EF4" w:rsidRPr="00345713" w:rsidRDefault="00CD1EF4" w:rsidP="000265E9">
      <w:pPr>
        <w:rPr>
          <w:szCs w:val="24"/>
        </w:rPr>
      </w:pPr>
      <w:r>
        <w:t>Jeżeli wypowiedzenie udziału stanie się skuteczne po zakończeniu okresu realizacji, złożenie wniosku</w:t>
      </w:r>
      <w:r w:rsidR="00C24B90">
        <w:t xml:space="preserve"> o zmi</w:t>
      </w:r>
      <w:r>
        <w:t>anę Umowy nie jest konieczne, chyba że zainteresowanym beneficjentem jest koordynator</w:t>
      </w:r>
      <w:r w:rsidR="00C24B90">
        <w:t>. W tak</w:t>
      </w:r>
      <w:r>
        <w:t>im przypadku we wniosku</w:t>
      </w:r>
      <w:r w:rsidR="00C24B90">
        <w:t xml:space="preserve"> o zmi</w:t>
      </w:r>
      <w:r>
        <w:t>anę Umowy należy zaproponować nowego koordynatora.</w:t>
      </w:r>
    </w:p>
    <w:p w14:paraId="5BF5B247" w14:textId="77777777" w:rsidR="00B8759A" w:rsidRPr="00345713" w:rsidRDefault="00B8759A" w:rsidP="000265E9">
      <w:pPr>
        <w:rPr>
          <w:szCs w:val="24"/>
        </w:rPr>
      </w:pPr>
      <w:r>
        <w:t>Jeżeli Komisja odrzuci wniosek</w:t>
      </w:r>
      <w:r w:rsidR="00C24B90">
        <w:t xml:space="preserve"> o zmi</w:t>
      </w:r>
      <w:r>
        <w:t>anę, Umowę można wypowiedzieć zgodnie</w:t>
      </w:r>
      <w:r w:rsidR="00C24B90">
        <w:t xml:space="preserve"> z art</w:t>
      </w:r>
      <w:r>
        <w:t>. II.17.3.1 ust. b). Wniosek</w:t>
      </w:r>
      <w:r w:rsidR="00C24B90">
        <w:t xml:space="preserve"> o zmi</w:t>
      </w:r>
      <w:r>
        <w:t>anę Umowy może zostać odrzucony, jeżeli podważa decyzję</w:t>
      </w:r>
      <w:r w:rsidR="00C24B90">
        <w:t xml:space="preserve"> o prz</w:t>
      </w:r>
      <w:r>
        <w:t>yznaniu dotacji lub jest sprzeczny</w:t>
      </w:r>
      <w:r w:rsidR="00C24B90">
        <w:t xml:space="preserve"> z zas</w:t>
      </w:r>
      <w:r>
        <w:t>adą równego traktowania wnioskodawców.</w:t>
      </w:r>
    </w:p>
    <w:p w14:paraId="7BC5339E" w14:textId="77777777" w:rsidR="002928A3" w:rsidRPr="00345713" w:rsidRDefault="00D047ED" w:rsidP="00D047ED">
      <w:pPr>
        <w:rPr>
          <w:szCs w:val="24"/>
        </w:rPr>
      </w:pPr>
      <w:r>
        <w:t>b) Beneficjent, którego dotyczy wypowiedzenie, ma obowiązek przekazać koordynatorowi:</w:t>
      </w:r>
    </w:p>
    <w:p w14:paraId="575A2ED5" w14:textId="77777777" w:rsidR="002928A3" w:rsidRPr="00345713" w:rsidRDefault="002928A3" w:rsidP="003A2A37">
      <w:pPr>
        <w:numPr>
          <w:ilvl w:val="0"/>
          <w:numId w:val="39"/>
        </w:numPr>
        <w:ind w:left="993" w:hanging="426"/>
      </w:pPr>
      <w:r>
        <w:t>raport merytoryczny; oraz</w:t>
      </w:r>
    </w:p>
    <w:p w14:paraId="39C373BA" w14:textId="77777777" w:rsidR="002928A3" w:rsidRPr="00345713" w:rsidRDefault="00F35684" w:rsidP="003A2A37">
      <w:pPr>
        <w:numPr>
          <w:ilvl w:val="0"/>
          <w:numId w:val="39"/>
        </w:numPr>
        <w:ind w:left="993" w:hanging="426"/>
      </w:pPr>
      <w:r>
        <w:t>w stosownych przypadkach sprawozdanie finansowe obejmujące okres od końca ostatniego okresu sprawozdawczego do dnia,</w:t>
      </w:r>
      <w:r w:rsidR="00C24B90">
        <w:t xml:space="preserve"> w któ</w:t>
      </w:r>
      <w:r>
        <w:t>rym wypowiedzenie stanie się skuteczne.</w:t>
      </w:r>
    </w:p>
    <w:p w14:paraId="1A3B71F3" w14:textId="77777777" w:rsidR="00DB22DC" w:rsidRPr="00345713" w:rsidRDefault="002C0D1F" w:rsidP="000265E9">
      <w:r>
        <w:t>Koordynator ma obowiązek zawrzeć te informacje we wniosku</w:t>
      </w:r>
      <w:r w:rsidR="00C24B90">
        <w:t xml:space="preserve"> o pła</w:t>
      </w:r>
      <w:r>
        <w:t>tność za następny okres sprawozdawczy.</w:t>
      </w:r>
    </w:p>
    <w:p w14:paraId="758F46C6" w14:textId="77777777" w:rsidR="002928A3" w:rsidRPr="00345713" w:rsidRDefault="00121DF0" w:rsidP="000265E9">
      <w:r>
        <w:lastRenderedPageBreak/>
        <w:t>Należy uwzględnić jedynie działania podjęte przed dniem,</w:t>
      </w:r>
      <w:r w:rsidR="00C24B90">
        <w:t xml:space="preserve"> w któ</w:t>
      </w:r>
      <w:r>
        <w:t>rym wypowiedzenie staje się skuteczne</w:t>
      </w:r>
      <w:r w:rsidR="00C24B90">
        <w:t>. W prz</w:t>
      </w:r>
      <w:r>
        <w:t>ypadku gdy dotacja przyjmuje formę zwrotu kosztów faktycznie poniesionych przewidzianych</w:t>
      </w:r>
      <w:r w:rsidR="00C24B90">
        <w:t xml:space="preserve"> w art</w:t>
      </w:r>
      <w:r>
        <w:t xml:space="preserve">. I.3.2 </w:t>
      </w:r>
      <w:r w:rsidRPr="00C24B90">
        <w:t>lit.</w:t>
      </w:r>
      <w:r w:rsidR="00C24B90" w:rsidRPr="00C24B90">
        <w:t> </w:t>
      </w:r>
      <w:r w:rsidRPr="00C24B90">
        <w:t>a)</w:t>
      </w:r>
      <w:r>
        <w:t xml:space="preserve"> </w:t>
      </w:r>
      <w:proofErr w:type="spellStart"/>
      <w:r>
        <w:t>ppkt</w:t>
      </w:r>
      <w:proofErr w:type="spellEnd"/>
      <w:r>
        <w:t xml:space="preserve"> (i), jedynie koszty poniesione przez danego beneficjenta, zanim wypowiedzenie stanie się skuteczne, podlegają zwrotowi lub są objęte dotacją. Koszty związane</w:t>
      </w:r>
      <w:r w:rsidR="00C24B90">
        <w:t xml:space="preserve"> z zam</w:t>
      </w:r>
      <w:r>
        <w:t>ówieniami, które miały zostać zrealizowane dopiero po wypowiedzeniu, nie podlegają zwrotowi ani nie są objęte dotacją.</w:t>
      </w:r>
    </w:p>
    <w:p w14:paraId="149B0F6C" w14:textId="77777777" w:rsidR="00A0014E" w:rsidRPr="00345713" w:rsidRDefault="00A0014E" w:rsidP="000265E9">
      <w:r>
        <w:t>Zgodnie</w:t>
      </w:r>
      <w:r w:rsidR="00C24B90">
        <w:t xml:space="preserve"> z art</w:t>
      </w:r>
      <w:r>
        <w:t>. II.25.4 Komisja może zmniejszyć dotację</w:t>
      </w:r>
      <w:r w:rsidR="00C24B90">
        <w:t xml:space="preserve"> w prz</w:t>
      </w:r>
      <w:r>
        <w:t>ypadku:</w:t>
      </w:r>
    </w:p>
    <w:p w14:paraId="1BAB4E85" w14:textId="77777777" w:rsidR="00A0014E" w:rsidRPr="008E03A5" w:rsidRDefault="00A0014E" w:rsidP="003A2A37">
      <w:pPr>
        <w:numPr>
          <w:ilvl w:val="0"/>
          <w:numId w:val="40"/>
        </w:numPr>
      </w:pPr>
      <w:r>
        <w:t>nieprawidłowego wypowiedzenia udziału beneficjenta przez koordynatora</w:t>
      </w:r>
      <w:r w:rsidR="00C24B90">
        <w:t xml:space="preserve"> w roz</w:t>
      </w:r>
      <w:r>
        <w:t>umieniu art. II.17.2 lub</w:t>
      </w:r>
    </w:p>
    <w:p w14:paraId="15F00535" w14:textId="77777777" w:rsidR="00A0014E" w:rsidRPr="00345713" w:rsidRDefault="00A0014E" w:rsidP="003A2A37">
      <w:pPr>
        <w:numPr>
          <w:ilvl w:val="0"/>
          <w:numId w:val="40"/>
        </w:numPr>
      </w:pPr>
      <w:r>
        <w:t>wypowiedzenia udziału beneficjenta przez Komisję na jakiejkolwiek podstawie określonej</w:t>
      </w:r>
      <w:r w:rsidR="00C24B90">
        <w:t xml:space="preserve"> w art</w:t>
      </w:r>
      <w:r>
        <w:t xml:space="preserve">. II.17.3.1 </w:t>
      </w:r>
      <w:r w:rsidRPr="00C24B90">
        <w:t>lit.</w:t>
      </w:r>
      <w:r w:rsidR="00C24B90" w:rsidRPr="00C24B90">
        <w:t> </w:t>
      </w:r>
      <w:r w:rsidRPr="00C24B90">
        <w:t>c)</w:t>
      </w:r>
      <w:r>
        <w:t>, f), g), h) lub i).</w:t>
      </w:r>
    </w:p>
    <w:p w14:paraId="34048145" w14:textId="77777777" w:rsidR="005D4D62" w:rsidRPr="00345713" w:rsidRDefault="005D4D62" w:rsidP="000265E9">
      <w:r>
        <w:t>Żadna ze stron nie może dochodzić odszkodowania</w:t>
      </w:r>
      <w:r w:rsidR="00C24B90">
        <w:t xml:space="preserve"> z pow</w:t>
      </w:r>
      <w:r>
        <w:t>odu wypowiedzenia udziału beneficjenta przez drugą stronę.</w:t>
      </w:r>
    </w:p>
    <w:p w14:paraId="2BE004B1" w14:textId="77777777" w:rsidR="004E2A9C" w:rsidRPr="00345713" w:rsidRDefault="005D4D62" w:rsidP="000265E9">
      <w:r>
        <w:t>Po wypowiedzeniu Umowy zobowiązania beneficjenta, którego to dotyczy, nadal mają zastosowanie,</w:t>
      </w:r>
      <w:r w:rsidR="00C24B90">
        <w:t xml:space="preserve"> w szc</w:t>
      </w:r>
      <w:r>
        <w:t>zególności te określone</w:t>
      </w:r>
      <w:r w:rsidR="00C24B90">
        <w:t xml:space="preserve"> w art</w:t>
      </w:r>
      <w:r>
        <w:t>. I.4, II.6, II.8, II.9, II.14, II.27, obowiązują również wszelkie dodatkowe postanowienia dotyczące korzystania</w:t>
      </w:r>
      <w:r w:rsidR="00C24B90">
        <w:t xml:space="preserve"> z wyn</w:t>
      </w:r>
      <w:r>
        <w:t>ików, jak określono</w:t>
      </w:r>
      <w:r w:rsidR="00C24B90">
        <w:t xml:space="preserve"> w War</w:t>
      </w:r>
      <w:r>
        <w:t>unkach Szczegółowych.</w:t>
      </w:r>
    </w:p>
    <w:p w14:paraId="4C20BEDC" w14:textId="77777777" w:rsidR="0073036A" w:rsidRPr="00345713" w:rsidRDefault="000A4F91" w:rsidP="000265E9">
      <w:pPr>
        <w:pStyle w:val="Nagwek2"/>
      </w:pPr>
      <w:bookmarkStart w:id="126" w:name="_Toc441250855"/>
      <w:bookmarkStart w:id="127" w:name="_Toc530496949"/>
      <w:bookmarkStart w:id="128" w:name="_Toc30764050"/>
      <w:r>
        <w:t>Artykuł II.18 – Prawo właściwe, rozstrzyganie sporów oraz decyzje stanowiące tytuł egzekucyjny</w:t>
      </w:r>
      <w:bookmarkEnd w:id="126"/>
      <w:bookmarkEnd w:id="127"/>
      <w:bookmarkEnd w:id="128"/>
    </w:p>
    <w:p w14:paraId="1F46DF7B" w14:textId="77777777" w:rsidR="00AF0093" w:rsidRPr="00345713" w:rsidRDefault="008F04E4" w:rsidP="000265E9">
      <w:pPr>
        <w:ind w:left="851" w:hanging="851"/>
      </w:pPr>
      <w:r>
        <w:rPr>
          <w:b/>
        </w:rPr>
        <w:t>II.18.1</w:t>
      </w:r>
      <w:r>
        <w:tab/>
        <w:t>Umowa podlega prawu właściwemu Unii uzupełnionemu,</w:t>
      </w:r>
      <w:r w:rsidR="00C24B90">
        <w:t xml:space="preserve"> w raz</w:t>
      </w:r>
      <w:r>
        <w:t>ie konieczności,</w:t>
      </w:r>
      <w:r w:rsidR="00C24B90">
        <w:t xml:space="preserve"> o prz</w:t>
      </w:r>
      <w:r>
        <w:t>episy prawa belgijskiego.</w:t>
      </w:r>
    </w:p>
    <w:p w14:paraId="7CF83830" w14:textId="77777777" w:rsidR="00F61E8E" w:rsidRPr="00345713" w:rsidRDefault="00F61E8E" w:rsidP="000265E9">
      <w:pPr>
        <w:ind w:left="851" w:hanging="851"/>
      </w:pPr>
      <w:r>
        <w:rPr>
          <w:b/>
        </w:rPr>
        <w:t>II.18.2</w:t>
      </w:r>
      <w:r>
        <w:tab/>
        <w:t>Zgodnie</w:t>
      </w:r>
      <w:r w:rsidR="00C24B90">
        <w:t xml:space="preserve"> z </w:t>
      </w:r>
      <w:r w:rsidR="00C24B90" w:rsidRPr="00C24B90">
        <w:t>art</w:t>
      </w:r>
      <w:r w:rsidRPr="00C24B90">
        <w:t>.</w:t>
      </w:r>
      <w:r w:rsidR="00C24B90" w:rsidRPr="00C24B90">
        <w:t> </w:t>
      </w:r>
      <w:r w:rsidRPr="00C24B90">
        <w:t>2</w:t>
      </w:r>
      <w:r>
        <w:t>72 TFUE, Sąd lub,</w:t>
      </w:r>
      <w:r w:rsidR="00C24B90">
        <w:t xml:space="preserve"> w raz</w:t>
      </w:r>
      <w:r>
        <w:t>ie złożenia odwołania, Trybunał Sprawiedliwości Unii Europejskiej posiada wyłączne kompetencje do rozpatrywania wszelkich sporów między Unią</w:t>
      </w:r>
      <w:r w:rsidR="00C24B90">
        <w:t xml:space="preserve"> a któ</w:t>
      </w:r>
      <w:r>
        <w:t>rymkolwiek</w:t>
      </w:r>
      <w:r w:rsidR="00C24B90">
        <w:t xml:space="preserve"> z ben</w:t>
      </w:r>
      <w:r>
        <w:t>eficjentów</w:t>
      </w:r>
      <w:r w:rsidR="00C24B90">
        <w:t xml:space="preserve"> w spr</w:t>
      </w:r>
      <w:r>
        <w:t>awie wykładni, zastosowania lub ważności niniejszej Umowy, jeśli takiego sporu nie można rozstrzygnąć polubownie.</w:t>
      </w:r>
    </w:p>
    <w:p w14:paraId="599086B7" w14:textId="77777777" w:rsidR="00826F52" w:rsidRPr="00345713" w:rsidRDefault="008F04E4" w:rsidP="000265E9">
      <w:pPr>
        <w:ind w:left="851" w:hanging="851"/>
      </w:pPr>
      <w:r>
        <w:rPr>
          <w:b/>
        </w:rPr>
        <w:t>II.18.3</w:t>
      </w:r>
      <w:r>
        <w:tab/>
        <w:t>Zgodnie</w:t>
      </w:r>
      <w:r w:rsidR="00C24B90">
        <w:t xml:space="preserve"> z </w:t>
      </w:r>
      <w:r w:rsidR="00C24B90" w:rsidRPr="00C24B90">
        <w:t>art</w:t>
      </w:r>
      <w:r w:rsidRPr="00C24B90">
        <w:t>.</w:t>
      </w:r>
      <w:r w:rsidR="00C24B90" w:rsidRPr="00C24B90">
        <w:t> </w:t>
      </w:r>
      <w:r w:rsidRPr="00C24B90">
        <w:t>2</w:t>
      </w:r>
      <w:r>
        <w:t>99 TFUE, do celów odzyskania środków</w:t>
      </w:r>
      <w:r w:rsidR="00C24B90">
        <w:t xml:space="preserve"> w roz</w:t>
      </w:r>
      <w:r>
        <w:t>umieniu art. II.26 Komisja może przyjąć decyzję</w:t>
      </w:r>
      <w:r w:rsidR="00C24B90">
        <w:t xml:space="preserve"> w spr</w:t>
      </w:r>
      <w:r>
        <w:t>awie nałożenia zobowiązań pieniężnych na poszczególne osoby,</w:t>
      </w:r>
      <w:r w:rsidR="00C24B90">
        <w:t xml:space="preserve"> a nie</w:t>
      </w:r>
      <w:r>
        <w:t xml:space="preserve"> na państwa, która to decyzja stanowić będzie tytuł egzekucyjny.</w:t>
      </w:r>
    </w:p>
    <w:p w14:paraId="188D0F4C" w14:textId="77777777" w:rsidR="00AF0093" w:rsidRPr="00345713" w:rsidRDefault="00AF0093" w:rsidP="00DA09E4">
      <w:pPr>
        <w:ind w:left="851"/>
      </w:pPr>
      <w:r>
        <w:t>Do Sądu można wnieść skargę przeciwko takiej decyzji zgodnie</w:t>
      </w:r>
      <w:r w:rsidR="00C24B90">
        <w:t xml:space="preserve"> z </w:t>
      </w:r>
      <w:r w:rsidR="00C24B90" w:rsidRPr="00C24B90">
        <w:t>art</w:t>
      </w:r>
      <w:r w:rsidRPr="00C24B90">
        <w:t>.</w:t>
      </w:r>
      <w:r w:rsidR="00C24B90" w:rsidRPr="00C24B90">
        <w:t> </w:t>
      </w:r>
      <w:r w:rsidRPr="00C24B90">
        <w:t>2</w:t>
      </w:r>
      <w:r>
        <w:t>63 TFUE.</w:t>
      </w:r>
    </w:p>
    <w:p w14:paraId="769090E7" w14:textId="77777777" w:rsidR="000265E9" w:rsidRPr="00345713" w:rsidRDefault="000265E9" w:rsidP="000265E9">
      <w:pPr>
        <w:adjustRightInd w:val="0"/>
        <w:ind w:left="851"/>
        <w:rPr>
          <w:szCs w:val="24"/>
        </w:rPr>
        <w:sectPr w:rsidR="000265E9" w:rsidRPr="00345713" w:rsidSect="00BF4ABF">
          <w:pgSz w:w="11906" w:h="16838" w:code="9"/>
          <w:pgMar w:top="1304" w:right="1418" w:bottom="1304" w:left="1418" w:header="567" w:footer="567" w:gutter="0"/>
          <w:cols w:space="708"/>
          <w:docGrid w:linePitch="360"/>
        </w:sectPr>
      </w:pPr>
    </w:p>
    <w:p w14:paraId="2313D3E6" w14:textId="77777777" w:rsidR="00171637" w:rsidRPr="00345713" w:rsidRDefault="00171637" w:rsidP="000265E9">
      <w:pPr>
        <w:pStyle w:val="Nagwek1"/>
      </w:pPr>
      <w:bookmarkStart w:id="129" w:name="_Toc441250856"/>
      <w:bookmarkStart w:id="130" w:name="_Toc530496950"/>
      <w:bookmarkStart w:id="131" w:name="_Toc30764051"/>
      <w:r>
        <w:lastRenderedPageBreak/>
        <w:t>CZĘŚĆ B – POSTANOWIENIA FINANSOWE</w:t>
      </w:r>
      <w:bookmarkEnd w:id="129"/>
      <w:bookmarkEnd w:id="130"/>
      <w:bookmarkEnd w:id="131"/>
    </w:p>
    <w:p w14:paraId="4AB4DA46" w14:textId="77777777" w:rsidR="00171637" w:rsidRPr="00345713" w:rsidRDefault="000A4F91" w:rsidP="000265E9">
      <w:pPr>
        <w:pStyle w:val="Nagwek2"/>
      </w:pPr>
      <w:bookmarkStart w:id="132" w:name="_Toc441250857"/>
      <w:bookmarkStart w:id="133" w:name="_Toc530496951"/>
      <w:bookmarkStart w:id="134" w:name="_Toc30764052"/>
      <w:r>
        <w:t>Artykuł II.19 – Koszty kwalifikowalne</w:t>
      </w:r>
      <w:bookmarkEnd w:id="132"/>
      <w:bookmarkEnd w:id="133"/>
      <w:bookmarkEnd w:id="134"/>
    </w:p>
    <w:p w14:paraId="1726805B" w14:textId="77777777" w:rsidR="00171637" w:rsidRPr="00345713" w:rsidRDefault="00171637" w:rsidP="000265E9">
      <w:pPr>
        <w:pStyle w:val="Nagwek3"/>
      </w:pPr>
      <w:bookmarkStart w:id="135" w:name="_Toc441250858"/>
      <w:bookmarkStart w:id="136" w:name="_Toc530496952"/>
      <w:bookmarkStart w:id="137" w:name="_Toc30764053"/>
      <w:r>
        <w:t>II.19.1</w:t>
      </w:r>
      <w:r>
        <w:tab/>
        <w:t>Warunki kwalifikowalności kosztów</w:t>
      </w:r>
      <w:bookmarkEnd w:id="135"/>
      <w:bookmarkEnd w:id="136"/>
      <w:bookmarkEnd w:id="137"/>
    </w:p>
    <w:p w14:paraId="3B16DD21" w14:textId="77777777" w:rsidR="00171637" w:rsidRPr="00345713" w:rsidRDefault="00171637" w:rsidP="00626B9A">
      <w:r>
        <w:t>Koszty kwalifikowalne działania to faktycznie poniesione przez beneficjenta koszty, które spełniają poniższe kryteria:</w:t>
      </w:r>
    </w:p>
    <w:p w14:paraId="772E0C0F" w14:textId="77777777" w:rsidR="00171637" w:rsidRPr="00345713" w:rsidRDefault="00171637" w:rsidP="003A2A37">
      <w:pPr>
        <w:numPr>
          <w:ilvl w:val="0"/>
          <w:numId w:val="41"/>
        </w:numPr>
      </w:pPr>
      <w:r>
        <w:t>zostały poniesione</w:t>
      </w:r>
      <w:r w:rsidR="00C24B90">
        <w:t xml:space="preserve"> w okr</w:t>
      </w:r>
      <w:r>
        <w:t>esie realizacji,</w:t>
      </w:r>
      <w:r w:rsidR="00C24B90">
        <w:t xml:space="preserve"> z wyj</w:t>
      </w:r>
      <w:r>
        <w:t>ątkiem kosztów dotyczących wniosku</w:t>
      </w:r>
      <w:r w:rsidR="00C24B90">
        <w:t xml:space="preserve"> o pła</w:t>
      </w:r>
      <w:r>
        <w:t>tność salda</w:t>
      </w:r>
      <w:r w:rsidR="00C24B90">
        <w:t xml:space="preserve"> i pow</w:t>
      </w:r>
      <w:r>
        <w:t>iązanych dokumentów potwierdzających,</w:t>
      </w:r>
      <w:r w:rsidR="00C24B90">
        <w:t xml:space="preserve"> o któ</w:t>
      </w:r>
      <w:r>
        <w:t>rych mowa</w:t>
      </w:r>
      <w:r w:rsidR="00C24B90">
        <w:t xml:space="preserve"> w art</w:t>
      </w:r>
      <w:r>
        <w:t>. I.4.4;</w:t>
      </w:r>
    </w:p>
    <w:p w14:paraId="3C9189D2" w14:textId="77777777" w:rsidR="00171637" w:rsidRPr="00345713" w:rsidRDefault="00171637" w:rsidP="003A2A37">
      <w:pPr>
        <w:numPr>
          <w:ilvl w:val="0"/>
          <w:numId w:val="41"/>
        </w:numPr>
      </w:pPr>
      <w:r>
        <w:t>zostały wyszczególnione</w:t>
      </w:r>
      <w:r w:rsidR="00C24B90">
        <w:t xml:space="preserve"> w sza</w:t>
      </w:r>
      <w:r>
        <w:t>cowanym budżecie działania. Szacowany budżet określono</w:t>
      </w:r>
      <w:r w:rsidR="00C24B90">
        <w:t xml:space="preserve"> w zał</w:t>
      </w:r>
      <w:r>
        <w:t>ączniku II;</w:t>
      </w:r>
    </w:p>
    <w:p w14:paraId="36610632" w14:textId="77777777" w:rsidR="00171637" w:rsidRPr="00345713" w:rsidRDefault="00171637" w:rsidP="003A2A37">
      <w:pPr>
        <w:numPr>
          <w:ilvl w:val="0"/>
          <w:numId w:val="41"/>
        </w:numPr>
      </w:pPr>
      <w:r>
        <w:t>zostały poniesione</w:t>
      </w:r>
      <w:r w:rsidR="00C24B90">
        <w:t xml:space="preserve"> w zwi</w:t>
      </w:r>
      <w:r>
        <w:t>ązku</w:t>
      </w:r>
      <w:r w:rsidR="00C24B90">
        <w:t xml:space="preserve"> z dzi</w:t>
      </w:r>
      <w:r>
        <w:t>ałaniem, jak opisano</w:t>
      </w:r>
      <w:r w:rsidR="00C24B90">
        <w:t xml:space="preserve"> w zał</w:t>
      </w:r>
      <w:r>
        <w:t>ączniku I</w:t>
      </w:r>
      <w:r w:rsidR="00496B83">
        <w:t>I</w:t>
      </w:r>
      <w:r>
        <w:t>, i są konieczne do jego realizacji;</w:t>
      </w:r>
    </w:p>
    <w:p w14:paraId="43377BE3" w14:textId="77777777" w:rsidR="00171637" w:rsidRPr="00345713" w:rsidRDefault="00171637" w:rsidP="003A2A37">
      <w:pPr>
        <w:numPr>
          <w:ilvl w:val="0"/>
          <w:numId w:val="41"/>
        </w:numPr>
      </w:pPr>
      <w:r>
        <w:t>są one możliwe do zidentyfikowania</w:t>
      </w:r>
      <w:r w:rsidR="00C24B90">
        <w:t xml:space="preserve"> i spr</w:t>
      </w:r>
      <w:r>
        <w:t>awdzenia,</w:t>
      </w:r>
      <w:r w:rsidR="00C24B90">
        <w:t xml:space="preserve"> w szc</w:t>
      </w:r>
      <w:r>
        <w:t>zególności są one ujmowane</w:t>
      </w:r>
      <w:r w:rsidR="00C24B90">
        <w:t xml:space="preserve"> w ksi</w:t>
      </w:r>
      <w:r>
        <w:t>ęgach rachunkowych beneficjenta</w:t>
      </w:r>
      <w:r w:rsidR="00C24B90">
        <w:t xml:space="preserve"> i okr</w:t>
      </w:r>
      <w:r>
        <w:t>eślane zgodnie ze standardami rachunkowości obowiązującymi</w:t>
      </w:r>
      <w:r w:rsidR="00C24B90">
        <w:t xml:space="preserve"> w kra</w:t>
      </w:r>
      <w:r>
        <w:t>ju,</w:t>
      </w:r>
      <w:r w:rsidR="00C24B90">
        <w:t xml:space="preserve"> w któ</w:t>
      </w:r>
      <w:r>
        <w:t>rym beneficjent ma swoją siedzibę, oraz zgodnie ze zwyczajową praktyką księgowania kosztów stosowaną przez beneficjenta;</w:t>
      </w:r>
    </w:p>
    <w:p w14:paraId="4298977F" w14:textId="77777777" w:rsidR="00171637" w:rsidRPr="00345713" w:rsidRDefault="00171637" w:rsidP="003A2A37">
      <w:pPr>
        <w:numPr>
          <w:ilvl w:val="0"/>
          <w:numId w:val="41"/>
        </w:numPr>
      </w:pPr>
      <w:r>
        <w:t>spełniają wymogi ustanowione</w:t>
      </w:r>
      <w:r w:rsidR="00C24B90">
        <w:t xml:space="preserve"> w obo</w:t>
      </w:r>
      <w:r>
        <w:t>wiązujących przepisach podatkowych</w:t>
      </w:r>
      <w:r w:rsidR="00C24B90">
        <w:t xml:space="preserve"> i soc</w:t>
      </w:r>
      <w:r>
        <w:t>jalnych; oraz</w:t>
      </w:r>
    </w:p>
    <w:p w14:paraId="72F8A96B" w14:textId="77777777" w:rsidR="00171637" w:rsidRPr="005A5E47" w:rsidRDefault="00171637" w:rsidP="003A2A37">
      <w:pPr>
        <w:numPr>
          <w:ilvl w:val="0"/>
          <w:numId w:val="41"/>
        </w:numPr>
      </w:pPr>
      <w:r>
        <w:t>są racjonalne, uzasadnione</w:t>
      </w:r>
      <w:r w:rsidR="00C24B90">
        <w:t xml:space="preserve"> i zgo</w:t>
      </w:r>
      <w:r>
        <w:t>dne</w:t>
      </w:r>
      <w:r w:rsidR="00C24B90">
        <w:t xml:space="preserve"> z zas</w:t>
      </w:r>
      <w:r>
        <w:t>adą należytego zarządzania finansami,</w:t>
      </w:r>
      <w:r w:rsidR="00C24B90">
        <w:t xml:space="preserve"> w szc</w:t>
      </w:r>
      <w:r>
        <w:t>zególności jeśli chodzi</w:t>
      </w:r>
      <w:r w:rsidR="00C24B90">
        <w:t xml:space="preserve"> o osz</w:t>
      </w:r>
      <w:r>
        <w:t>czędność</w:t>
      </w:r>
      <w:r w:rsidR="00C24B90">
        <w:t xml:space="preserve"> i wyd</w:t>
      </w:r>
      <w:r>
        <w:t>ajność.</w:t>
      </w:r>
    </w:p>
    <w:p w14:paraId="4888563F" w14:textId="77777777" w:rsidR="00171637" w:rsidRPr="00345713" w:rsidRDefault="00171637" w:rsidP="00626B9A">
      <w:pPr>
        <w:pStyle w:val="Nagwek3"/>
      </w:pPr>
      <w:bookmarkStart w:id="138" w:name="_Toc441250859"/>
      <w:bookmarkStart w:id="139" w:name="_Toc530496953"/>
      <w:bookmarkStart w:id="140" w:name="_Toc30764054"/>
      <w:r>
        <w:t>II.19.2</w:t>
      </w:r>
      <w:r>
        <w:tab/>
        <w:t>Kwalifikowalne koszty bezpośrednie</w:t>
      </w:r>
      <w:bookmarkEnd w:id="138"/>
      <w:bookmarkEnd w:id="139"/>
      <w:bookmarkEnd w:id="140"/>
    </w:p>
    <w:p w14:paraId="316189C7" w14:textId="77777777" w:rsidR="00171637" w:rsidRPr="00345713" w:rsidRDefault="00171637" w:rsidP="00626B9A">
      <w:pPr>
        <w:autoSpaceDE w:val="0"/>
        <w:autoSpaceDN w:val="0"/>
        <w:adjustRightInd w:val="0"/>
        <w:rPr>
          <w:szCs w:val="24"/>
        </w:rPr>
      </w:pPr>
      <w:r>
        <w:t>Aby koszty bezpośrednie działania mogły zostać uznane za kwalifikowalne, muszą spełniać warunki kwalifikowalności określone</w:t>
      </w:r>
      <w:r w:rsidR="00C24B90">
        <w:t xml:space="preserve"> w art</w:t>
      </w:r>
      <w:r>
        <w:t>. II.19.1.</w:t>
      </w:r>
    </w:p>
    <w:p w14:paraId="05EF576F" w14:textId="77777777" w:rsidR="00171637" w:rsidRPr="00345713" w:rsidRDefault="00171637" w:rsidP="00626B9A">
      <w:pPr>
        <w:autoSpaceDE w:val="0"/>
        <w:autoSpaceDN w:val="0"/>
        <w:adjustRightInd w:val="0"/>
        <w:rPr>
          <w:szCs w:val="24"/>
        </w:rPr>
      </w:pPr>
      <w:r>
        <w:t>W szczególności za kwalifikowalne koszty bezpośrednie uważa się wymienione poniżej kategorie kosztów, pod warunkiem że spełniają one warunki kwalifikowalności wskazane</w:t>
      </w:r>
      <w:r w:rsidR="00C24B90">
        <w:t xml:space="preserve"> w art</w:t>
      </w:r>
      <w:r>
        <w:t>. II.19.1, jak również następujące warunki:</w:t>
      </w:r>
    </w:p>
    <w:p w14:paraId="49FA0362" w14:textId="77777777" w:rsidR="00EC7B2F" w:rsidRPr="00345713" w:rsidRDefault="00171637" w:rsidP="00626B9A">
      <w:pPr>
        <w:autoSpaceDE w:val="0"/>
        <w:autoSpaceDN w:val="0"/>
        <w:adjustRightInd w:val="0"/>
        <w:ind w:left="567" w:hanging="567"/>
        <w:rPr>
          <w:szCs w:val="24"/>
        </w:rPr>
      </w:pPr>
      <w:r>
        <w:t>a)</w:t>
      </w:r>
      <w:r>
        <w:tab/>
        <w:t>koszty personelu pracującego przy realizacji działania na podstawie umowy</w:t>
      </w:r>
      <w:r w:rsidR="00C24B90">
        <w:t xml:space="preserve"> o pra</w:t>
      </w:r>
      <w:r>
        <w:t>cę zawartej</w:t>
      </w:r>
      <w:r w:rsidR="00C24B90">
        <w:t xml:space="preserve"> z ben</w:t>
      </w:r>
      <w:r>
        <w:t>eficjentem lub na podstawie równoważnego aktu zatrudnienia, pod warunkiem że koszty te odpowiadają kosztom ponoszonym zgodnie ze zwyczajową polityką płacową beneficjenta.</w:t>
      </w:r>
    </w:p>
    <w:p w14:paraId="17609A13" w14:textId="77777777" w:rsidR="00171637" w:rsidRPr="00345713" w:rsidRDefault="00E91B1D" w:rsidP="00626B9A">
      <w:pPr>
        <w:autoSpaceDE w:val="0"/>
        <w:autoSpaceDN w:val="0"/>
        <w:adjustRightInd w:val="0"/>
        <w:ind w:left="567"/>
        <w:rPr>
          <w:szCs w:val="24"/>
        </w:rPr>
      </w:pPr>
      <w:r>
        <w:t>Koszty te obejmują płace realne powiększone</w:t>
      </w:r>
      <w:r w:rsidR="00C24B90">
        <w:t xml:space="preserve"> o skł</w:t>
      </w:r>
      <w:r>
        <w:t>adki na ubezpieczenie społeczne oraz inne koszty ustawowe wchodzące</w:t>
      </w:r>
      <w:r w:rsidR="00C24B90">
        <w:t xml:space="preserve"> w skł</w:t>
      </w:r>
      <w:r>
        <w:t>ad wynagrodzeń. Koszty te mogą również obejmować dodatkowe wynagrodzenie,</w:t>
      </w:r>
      <w:r w:rsidR="00C24B90">
        <w:t xml:space="preserve"> w tym</w:t>
      </w:r>
      <w:r>
        <w:t xml:space="preserve"> kwoty wypłacane na podstawie umów uzupełniających, niezależnie od ich charakteru, pod warunkiem że jest ono wypłacane</w:t>
      </w:r>
      <w:r w:rsidR="00C24B90">
        <w:t xml:space="preserve"> w spó</w:t>
      </w:r>
      <w:r>
        <w:t>jny sposób za każdym razem, gdy wymagana jest tego samego rodzaju praca lub wiedza fachowa, niezależnie od źródła wykorzystanych funduszy.</w:t>
      </w:r>
    </w:p>
    <w:p w14:paraId="70038BB6" w14:textId="77777777" w:rsidR="00171637" w:rsidRPr="00345713" w:rsidRDefault="00171637" w:rsidP="00626B9A">
      <w:pPr>
        <w:autoSpaceDE w:val="0"/>
        <w:autoSpaceDN w:val="0"/>
        <w:adjustRightInd w:val="0"/>
        <w:ind w:left="567"/>
        <w:rPr>
          <w:szCs w:val="24"/>
        </w:rPr>
      </w:pPr>
      <w:r>
        <w:t>Koszty zatrudnienia osób fizycznych świadczących pracę na podstawie umowy</w:t>
      </w:r>
      <w:r w:rsidR="00C24B90">
        <w:t xml:space="preserve"> z ben</w:t>
      </w:r>
      <w:r>
        <w:t>eficjentem, która nie jest umową</w:t>
      </w:r>
      <w:r w:rsidR="00C24B90">
        <w:t xml:space="preserve"> o pra</w:t>
      </w:r>
      <w:r>
        <w:t>cę, lub koszty zatrudnienia osób fizycznych, które zostały oddelegowane do świadczenia odpłatnej pracy na rzecz beneficjenta przez osobę trzecią, mogą również zostać włączone do takich kosztów personelu,</w:t>
      </w:r>
      <w:r w:rsidR="00C24B90">
        <w:t xml:space="preserve"> o ile</w:t>
      </w:r>
      <w:r>
        <w:t xml:space="preserve"> spełniono następujące warunki:</w:t>
      </w:r>
    </w:p>
    <w:p w14:paraId="5313C9E4" w14:textId="77777777" w:rsidR="00980F44" w:rsidRPr="000C547D" w:rsidRDefault="00980F44" w:rsidP="003A2A37">
      <w:pPr>
        <w:pStyle w:val="Akapitzlist"/>
        <w:numPr>
          <w:ilvl w:val="0"/>
          <w:numId w:val="77"/>
        </w:numPr>
        <w:autoSpaceDE w:val="0"/>
        <w:autoSpaceDN w:val="0"/>
        <w:adjustRightInd w:val="0"/>
        <w:spacing w:after="0"/>
        <w:rPr>
          <w:rFonts w:eastAsia="Calibri"/>
          <w:szCs w:val="24"/>
        </w:rPr>
      </w:pPr>
      <w:r>
        <w:lastRenderedPageBreak/>
        <w:t>osoba pracuje na warunkach podobnych do warunków pracy zatrudnionego pracownika (w szczególności</w:t>
      </w:r>
      <w:r w:rsidR="00C24B90">
        <w:t xml:space="preserve"> w odn</w:t>
      </w:r>
      <w:r>
        <w:t>iesieniu do sposobu zorganizowania pracy, wykonywanych zadań oraz miejsca wykonywania zadań);</w:t>
      </w:r>
    </w:p>
    <w:p w14:paraId="39350493" w14:textId="77777777" w:rsidR="00980F44" w:rsidRPr="00980F44" w:rsidRDefault="00980F44" w:rsidP="00980F44">
      <w:pPr>
        <w:autoSpaceDE w:val="0"/>
        <w:autoSpaceDN w:val="0"/>
        <w:adjustRightInd w:val="0"/>
        <w:spacing w:before="0" w:beforeAutospacing="0" w:after="0" w:afterAutospacing="0"/>
        <w:ind w:left="600"/>
        <w:rPr>
          <w:rFonts w:eastAsia="Calibri"/>
          <w:szCs w:val="24"/>
          <w:highlight w:val="yellow"/>
        </w:rPr>
      </w:pPr>
    </w:p>
    <w:p w14:paraId="41FD3F96" w14:textId="77777777" w:rsidR="00980F44" w:rsidRPr="00F54FD7" w:rsidRDefault="00980F44" w:rsidP="003A2A37">
      <w:pPr>
        <w:pStyle w:val="Akapitzlist"/>
        <w:numPr>
          <w:ilvl w:val="0"/>
          <w:numId w:val="77"/>
        </w:numPr>
        <w:autoSpaceDE w:val="0"/>
        <w:autoSpaceDN w:val="0"/>
        <w:adjustRightInd w:val="0"/>
        <w:spacing w:before="0" w:beforeAutospacing="0" w:after="0" w:afterAutospacing="0"/>
        <w:rPr>
          <w:rFonts w:eastAsia="Calibri"/>
          <w:szCs w:val="24"/>
        </w:rPr>
      </w:pPr>
      <w:r>
        <w:t>wyniki prac stanowią własność beneficjenta (chyba że wyjątkowo ustalono inaczej); oraz</w:t>
      </w:r>
    </w:p>
    <w:p w14:paraId="2B7D4292" w14:textId="77777777" w:rsidR="00980F44" w:rsidRPr="00980F44" w:rsidRDefault="00980F44" w:rsidP="00980F44">
      <w:pPr>
        <w:autoSpaceDE w:val="0"/>
        <w:autoSpaceDN w:val="0"/>
        <w:adjustRightInd w:val="0"/>
        <w:spacing w:before="0" w:beforeAutospacing="0" w:after="0" w:afterAutospacing="0"/>
        <w:ind w:left="600"/>
        <w:rPr>
          <w:rFonts w:eastAsia="Calibri"/>
          <w:szCs w:val="24"/>
        </w:rPr>
      </w:pPr>
    </w:p>
    <w:p w14:paraId="7F6FB626" w14:textId="77777777" w:rsidR="00171637" w:rsidRPr="000C547D" w:rsidRDefault="00171637" w:rsidP="003A2A37">
      <w:pPr>
        <w:pStyle w:val="Akapitzlist"/>
        <w:numPr>
          <w:ilvl w:val="0"/>
          <w:numId w:val="77"/>
        </w:numPr>
        <w:tabs>
          <w:tab w:val="left" w:pos="480"/>
        </w:tabs>
        <w:autoSpaceDE w:val="0"/>
        <w:autoSpaceDN w:val="0"/>
        <w:adjustRightInd w:val="0"/>
        <w:spacing w:before="0" w:beforeAutospacing="0" w:after="0" w:afterAutospacing="0"/>
        <w:rPr>
          <w:szCs w:val="24"/>
        </w:rPr>
      </w:pPr>
      <w:r>
        <w:t>koszty nie różnią się znacząco od kosztów personelu wykonującego podobne zadania</w:t>
      </w:r>
      <w:r w:rsidR="00C24B90">
        <w:t xml:space="preserve"> w ram</w:t>
      </w:r>
      <w:r>
        <w:t>ach umowy</w:t>
      </w:r>
      <w:r w:rsidR="00C24B90">
        <w:t xml:space="preserve"> o pra</w:t>
      </w:r>
      <w:r>
        <w:t>cę</w:t>
      </w:r>
      <w:r w:rsidR="00C24B90">
        <w:t xml:space="preserve"> z ben</w:t>
      </w:r>
      <w:r>
        <w:t>eficjentem;</w:t>
      </w:r>
    </w:p>
    <w:p w14:paraId="7BABCB35" w14:textId="77777777" w:rsidR="00171637" w:rsidRPr="00345713" w:rsidRDefault="00171637" w:rsidP="00626B9A">
      <w:pPr>
        <w:ind w:left="567" w:hanging="567"/>
        <w:rPr>
          <w:szCs w:val="24"/>
        </w:rPr>
      </w:pPr>
      <w:r>
        <w:t>b)</w:t>
      </w:r>
      <w:r>
        <w:tab/>
        <w:t>koszty podróży</w:t>
      </w:r>
      <w:r w:rsidR="00C24B90">
        <w:t xml:space="preserve"> i zwi</w:t>
      </w:r>
      <w:r>
        <w:t>ązane</w:t>
      </w:r>
      <w:r w:rsidR="00C24B90">
        <w:t xml:space="preserve"> z nią</w:t>
      </w:r>
      <w:r>
        <w:t xml:space="preserve"> diety, pod warunkiem że koszty te są zgodne ze zwyczajową praktyką beneficjenta dotyczącą wydatków na podróże;</w:t>
      </w:r>
    </w:p>
    <w:p w14:paraId="089FB6C1" w14:textId="77777777" w:rsidR="00A51DEC" w:rsidRPr="00345713" w:rsidRDefault="00171637" w:rsidP="00C227E3">
      <w:pPr>
        <w:ind w:left="567" w:hanging="567"/>
        <w:rPr>
          <w:szCs w:val="24"/>
        </w:rPr>
      </w:pPr>
      <w:r>
        <w:t>c)</w:t>
      </w:r>
      <w:r>
        <w:tab/>
        <w:t>amortyzacja wyposażenia lub innych aktywów (nowych lub używanych) ujęta</w:t>
      </w:r>
      <w:r w:rsidR="00C24B90">
        <w:t xml:space="preserve"> w spr</w:t>
      </w:r>
      <w:r>
        <w:t>awozdaniach księgowych beneficjenta, pod warunkiem że aktywa te:</w:t>
      </w:r>
    </w:p>
    <w:p w14:paraId="7232BF62" w14:textId="77777777" w:rsidR="00A51DEC" w:rsidRPr="00345713" w:rsidRDefault="00A51DEC" w:rsidP="00626B9A">
      <w:pPr>
        <w:autoSpaceDE w:val="0"/>
        <w:autoSpaceDN w:val="0"/>
        <w:adjustRightInd w:val="0"/>
        <w:ind w:left="1680" w:hanging="360"/>
        <w:rPr>
          <w:szCs w:val="24"/>
        </w:rPr>
      </w:pPr>
      <w:r>
        <w:t>(i) zostały odpisane zgodnie</w:t>
      </w:r>
      <w:r w:rsidR="00C24B90">
        <w:t xml:space="preserve"> z mię</w:t>
      </w:r>
      <w:r>
        <w:t>dzynarodowymi standardami rachunkowości oraz zgodnie ze zwyczajowymi praktykami księgowymi stosowanymi przez beneficjenta; oraz</w:t>
      </w:r>
    </w:p>
    <w:p w14:paraId="1FE5186D" w14:textId="77777777" w:rsidR="00A51DEC" w:rsidRPr="00345713" w:rsidRDefault="00A51DEC" w:rsidP="00626B9A">
      <w:pPr>
        <w:autoSpaceDE w:val="0"/>
        <w:autoSpaceDN w:val="0"/>
        <w:adjustRightInd w:val="0"/>
        <w:ind w:left="1680" w:hanging="360"/>
        <w:rPr>
          <w:szCs w:val="24"/>
        </w:rPr>
      </w:pPr>
      <w:r>
        <w:t>(ii) zostały zakupione zgodnie</w:t>
      </w:r>
      <w:r w:rsidR="00C24B90">
        <w:t xml:space="preserve"> z art</w:t>
      </w:r>
      <w:r>
        <w:t>. II.10.1,</w:t>
      </w:r>
      <w:r w:rsidR="00C24B90">
        <w:t xml:space="preserve"> o ile</w:t>
      </w:r>
      <w:r>
        <w:t xml:space="preserve"> transakcję kupna przeprowadzono</w:t>
      </w:r>
      <w:r w:rsidR="00C24B90">
        <w:t xml:space="preserve"> w okr</w:t>
      </w:r>
      <w:r>
        <w:t>esie realizacji.</w:t>
      </w:r>
    </w:p>
    <w:p w14:paraId="32E6D0F6" w14:textId="77777777" w:rsidR="00171637" w:rsidRPr="00345713" w:rsidRDefault="00A51DEC" w:rsidP="00626B9A">
      <w:pPr>
        <w:autoSpaceDE w:val="0"/>
        <w:autoSpaceDN w:val="0"/>
        <w:adjustRightInd w:val="0"/>
        <w:ind w:left="567"/>
        <w:rPr>
          <w:szCs w:val="24"/>
        </w:rPr>
      </w:pPr>
      <w:r>
        <w:t>Koszty wypożyczenia lub najmu wyposażenia lub innych aktywów również uznaje się za kwalifikowalne, jeżeli wysokość tych kosztów nie przekracza wysokości kosztów amortyzacji podobnego wyposażenia lub podobnych aktywów</w:t>
      </w:r>
      <w:r w:rsidR="00C24B90">
        <w:t xml:space="preserve"> i jeż</w:t>
      </w:r>
      <w:r>
        <w:t>eli koszty te nie zawierają żadnych opłat finansowych.</w:t>
      </w:r>
    </w:p>
    <w:p w14:paraId="5BEB2C28" w14:textId="77777777" w:rsidR="00171637" w:rsidRPr="00345713" w:rsidRDefault="00171637" w:rsidP="00626B9A">
      <w:pPr>
        <w:autoSpaceDE w:val="0"/>
        <w:autoSpaceDN w:val="0"/>
        <w:adjustRightInd w:val="0"/>
        <w:ind w:left="567"/>
        <w:rPr>
          <w:szCs w:val="24"/>
        </w:rPr>
      </w:pPr>
      <w:r>
        <w:t>Przy ustalaniu kosztów kwalifikowalnych można uwzględnić jedynie tę część kosztów amortyzacji, wypożyczenia lub najmu wyposażenia, która odpowiada okresowi realizacji, oraz faktycznemu stopniowi wykorzystania tego wyposażenia do celów działania</w:t>
      </w:r>
      <w:r w:rsidR="00C24B90">
        <w:t>. W dro</w:t>
      </w:r>
      <w:r>
        <w:t>dze wyjątku całość kosztów zakupu wyposażenia może zostać uznana za kwalifikowalną zgodnie</w:t>
      </w:r>
      <w:r w:rsidR="00C24B90">
        <w:t xml:space="preserve"> z War</w:t>
      </w:r>
      <w:r>
        <w:t>unkami Szczegółowymi, jeżeli będzie to uzasadnione charakterem działania oraz okolicznościami korzystania</w:t>
      </w:r>
      <w:r w:rsidR="00C24B90">
        <w:t xml:space="preserve"> z wyp</w:t>
      </w:r>
      <w:r>
        <w:t>osażenia lub innych aktywów;</w:t>
      </w:r>
    </w:p>
    <w:p w14:paraId="6809DC9C" w14:textId="77777777" w:rsidR="006172B2" w:rsidRPr="00345713" w:rsidRDefault="00171637" w:rsidP="00626B9A">
      <w:pPr>
        <w:autoSpaceDE w:val="0"/>
        <w:autoSpaceDN w:val="0"/>
        <w:adjustRightInd w:val="0"/>
        <w:ind w:left="567" w:hanging="567"/>
        <w:rPr>
          <w:szCs w:val="24"/>
        </w:rPr>
      </w:pPr>
      <w:r>
        <w:t>d)</w:t>
      </w:r>
      <w:r>
        <w:tab/>
        <w:t>koszty materiałów nietrwałych</w:t>
      </w:r>
      <w:r w:rsidR="00C24B90">
        <w:t xml:space="preserve"> i zao</w:t>
      </w:r>
      <w:r>
        <w:t>patrzenia, pod warunkiem że:</w:t>
      </w:r>
    </w:p>
    <w:p w14:paraId="5D6143F5" w14:textId="77777777" w:rsidR="006172B2" w:rsidRPr="00345713" w:rsidRDefault="006172B2" w:rsidP="00626B9A">
      <w:pPr>
        <w:autoSpaceDE w:val="0"/>
        <w:autoSpaceDN w:val="0"/>
        <w:adjustRightInd w:val="0"/>
        <w:ind w:left="2007" w:hanging="567"/>
        <w:rPr>
          <w:szCs w:val="24"/>
        </w:rPr>
      </w:pPr>
      <w:r>
        <w:t>(i) materiały te nabyto zgodnie</w:t>
      </w:r>
      <w:r w:rsidR="00C24B90">
        <w:t xml:space="preserve"> z art</w:t>
      </w:r>
      <w:r>
        <w:t>. II.10.1; oraz</w:t>
      </w:r>
    </w:p>
    <w:p w14:paraId="7778EE6F" w14:textId="77777777" w:rsidR="00171637" w:rsidRPr="00345713" w:rsidRDefault="006172B2" w:rsidP="00626B9A">
      <w:pPr>
        <w:autoSpaceDE w:val="0"/>
        <w:autoSpaceDN w:val="0"/>
        <w:adjustRightInd w:val="0"/>
        <w:ind w:left="2007" w:hanging="567"/>
        <w:rPr>
          <w:szCs w:val="24"/>
        </w:rPr>
      </w:pPr>
      <w:r>
        <w:t>(ii) zostały one bezpośrednio przypisane do danego działania;</w:t>
      </w:r>
    </w:p>
    <w:p w14:paraId="75600FC2" w14:textId="77777777" w:rsidR="00171637" w:rsidRPr="00345713" w:rsidRDefault="00171637" w:rsidP="00626B9A">
      <w:pPr>
        <w:autoSpaceDE w:val="0"/>
        <w:autoSpaceDN w:val="0"/>
        <w:adjustRightInd w:val="0"/>
        <w:ind w:left="567" w:hanging="567"/>
        <w:rPr>
          <w:szCs w:val="24"/>
        </w:rPr>
      </w:pPr>
      <w:r>
        <w:t>e)</w:t>
      </w:r>
      <w:r>
        <w:tab/>
        <w:t>koszty wynikające bezpośrednio</w:t>
      </w:r>
      <w:r w:rsidR="00C24B90">
        <w:t xml:space="preserve"> z wym</w:t>
      </w:r>
      <w:r>
        <w:t>ogów nałożonych Umową (rozpowszechnianie informacji, ocena szczegółowa działania, audyt, tłumaczenie, zwielokrotnianie itp.),</w:t>
      </w:r>
      <w:r w:rsidR="00C24B90">
        <w:t xml:space="preserve"> w tym</w:t>
      </w:r>
      <w:r>
        <w:t xml:space="preserve"> koszty wymaganych gwarancji finansowych, pod warunkiem że odpowiednie usługi zostały nabyte zgodnie</w:t>
      </w:r>
      <w:r w:rsidR="00C24B90">
        <w:t xml:space="preserve"> z art</w:t>
      </w:r>
      <w:r>
        <w:t>. II.10.1;</w:t>
      </w:r>
    </w:p>
    <w:p w14:paraId="01497400" w14:textId="77777777" w:rsidR="00171637" w:rsidRPr="00345713" w:rsidRDefault="00171637" w:rsidP="00626B9A">
      <w:pPr>
        <w:autoSpaceDE w:val="0"/>
        <w:autoSpaceDN w:val="0"/>
        <w:adjustRightInd w:val="0"/>
        <w:ind w:left="567" w:hanging="567"/>
        <w:rPr>
          <w:szCs w:val="24"/>
        </w:rPr>
      </w:pPr>
      <w:r>
        <w:t>f)</w:t>
      </w:r>
      <w:r>
        <w:tab/>
        <w:t>koszty związane ze zleceniami podwykonawstwa</w:t>
      </w:r>
      <w:r w:rsidR="00C24B90">
        <w:t xml:space="preserve"> w roz</w:t>
      </w:r>
      <w:r>
        <w:t>umieniu art. II.11,</w:t>
      </w:r>
      <w:r w:rsidR="00C24B90">
        <w:t xml:space="preserve"> o ile</w:t>
      </w:r>
      <w:r>
        <w:t xml:space="preserve"> spełniono warunki przewidziane</w:t>
      </w:r>
      <w:r w:rsidR="00C24B90">
        <w:t xml:space="preserve"> w art</w:t>
      </w:r>
      <w:r>
        <w:t xml:space="preserve">. II.11.1 </w:t>
      </w:r>
      <w:r w:rsidRPr="00C24B90">
        <w:t>lit.</w:t>
      </w:r>
      <w:r w:rsidR="00C24B90" w:rsidRPr="00C24B90">
        <w:t> </w:t>
      </w:r>
      <w:r w:rsidRPr="00C24B90">
        <w:t>a)</w:t>
      </w:r>
      <w:r>
        <w:t>, b), c) i d);</w:t>
      </w:r>
    </w:p>
    <w:p w14:paraId="79F3D47A" w14:textId="77777777" w:rsidR="00171637" w:rsidRPr="00345713" w:rsidRDefault="00171637" w:rsidP="00626B9A">
      <w:pPr>
        <w:autoSpaceDE w:val="0"/>
        <w:autoSpaceDN w:val="0"/>
        <w:adjustRightInd w:val="0"/>
        <w:ind w:left="567" w:hanging="567"/>
        <w:rPr>
          <w:szCs w:val="24"/>
        </w:rPr>
      </w:pPr>
      <w:r>
        <w:lastRenderedPageBreak/>
        <w:t>g)</w:t>
      </w:r>
      <w:r>
        <w:tab/>
        <w:t>koszty wsparcia finansowego na rzecz osób trzecich</w:t>
      </w:r>
      <w:r w:rsidR="00C24B90">
        <w:t xml:space="preserve"> w roz</w:t>
      </w:r>
      <w:r>
        <w:t>umieniu art. II.12,</w:t>
      </w:r>
      <w:r w:rsidR="00C24B90">
        <w:t xml:space="preserve"> o ile</w:t>
      </w:r>
      <w:r>
        <w:t xml:space="preserve"> spełniono warunki ustanowione</w:t>
      </w:r>
      <w:r w:rsidR="00C24B90">
        <w:t xml:space="preserve"> w tym</w:t>
      </w:r>
      <w:r>
        <w:t xml:space="preserve"> artykule;</w:t>
      </w:r>
    </w:p>
    <w:p w14:paraId="1A2B3A2B" w14:textId="77777777" w:rsidR="00171637" w:rsidRPr="00345713" w:rsidRDefault="00171637" w:rsidP="00626B9A">
      <w:pPr>
        <w:autoSpaceDE w:val="0"/>
        <w:autoSpaceDN w:val="0"/>
        <w:adjustRightInd w:val="0"/>
        <w:ind w:left="567" w:hanging="567"/>
        <w:rPr>
          <w:szCs w:val="24"/>
        </w:rPr>
      </w:pPr>
      <w:r>
        <w:t xml:space="preserve">h) </w:t>
      </w:r>
      <w:r>
        <w:tab/>
        <w:t>należności, podatki</w:t>
      </w:r>
      <w:r w:rsidR="00C24B90">
        <w:t xml:space="preserve"> i opł</w:t>
      </w:r>
      <w:r>
        <w:t>aty uiszczane przez beneficjenta,</w:t>
      </w:r>
      <w:r w:rsidR="00C24B90">
        <w:t xml:space="preserve"> w szc</w:t>
      </w:r>
      <w:r>
        <w:t>zególności podatek od wartości dodanej (VAT), pod warunkiem że zostały one uwzględnione</w:t>
      </w:r>
      <w:r w:rsidR="00C24B90">
        <w:t xml:space="preserve"> w kwa</w:t>
      </w:r>
      <w:r>
        <w:t>lifikowalnych kosztach bezpośrednich</w:t>
      </w:r>
      <w:r w:rsidR="00C24B90">
        <w:t xml:space="preserve"> i o ile</w:t>
      </w:r>
      <w:r>
        <w:t xml:space="preserve"> Umowa nie stanowi inaczej.</w:t>
      </w:r>
    </w:p>
    <w:p w14:paraId="07634D94" w14:textId="77777777" w:rsidR="00171637" w:rsidRPr="00345713" w:rsidRDefault="00171637" w:rsidP="00626B9A">
      <w:pPr>
        <w:pStyle w:val="Nagwek3"/>
      </w:pPr>
      <w:bookmarkStart w:id="141" w:name="_Toc441250860"/>
      <w:bookmarkStart w:id="142" w:name="_Toc530496954"/>
      <w:bookmarkStart w:id="143" w:name="_Toc30764055"/>
      <w:r>
        <w:t>II.19.3</w:t>
      </w:r>
      <w:r>
        <w:tab/>
        <w:t>Kwalifikowalne koszty pośrednie</w:t>
      </w:r>
      <w:bookmarkEnd w:id="141"/>
      <w:bookmarkEnd w:id="142"/>
      <w:bookmarkEnd w:id="143"/>
    </w:p>
    <w:p w14:paraId="07A3E4F6" w14:textId="77777777" w:rsidR="00171637" w:rsidRPr="00345713" w:rsidRDefault="00171637" w:rsidP="00626B9A">
      <w:r>
        <w:t>Aby koszty pośrednie działania można było uznać za kwalifikowalne, muszą one stanowić rozsądny odsetek całkowitych kosztów ogólnych poniesionych przez beneficjenta</w:t>
      </w:r>
      <w:r w:rsidR="00C24B90">
        <w:t xml:space="preserve"> i mus</w:t>
      </w:r>
      <w:r>
        <w:t>zą spełniać warunki kwalifikowalności określone</w:t>
      </w:r>
      <w:r w:rsidR="00C24B90">
        <w:t xml:space="preserve"> w art</w:t>
      </w:r>
      <w:r>
        <w:t>. II.19.1.</w:t>
      </w:r>
    </w:p>
    <w:p w14:paraId="35935BB4" w14:textId="77777777" w:rsidR="00171637" w:rsidRPr="00345713" w:rsidRDefault="00F330C4" w:rsidP="00626B9A">
      <w:r>
        <w:t>O ile art. I.3.2 nie stanowi inaczej, kwalifikowalne koszty pośrednie muszą zostać zadeklarowane</w:t>
      </w:r>
      <w:r w:rsidR="00C24B90">
        <w:t xml:space="preserve"> w opa</w:t>
      </w:r>
      <w:r>
        <w:t>rciu</w:t>
      </w:r>
      <w:r w:rsidR="00C24B90">
        <w:t xml:space="preserve"> o sta</w:t>
      </w:r>
      <w:r>
        <w:t>wkę zryczałtowaną</w:t>
      </w:r>
      <w:r w:rsidR="00C24B90">
        <w:t xml:space="preserve"> w wys</w:t>
      </w:r>
      <w:r>
        <w:t xml:space="preserve">okości </w:t>
      </w:r>
      <w:r w:rsidRPr="00C24B90">
        <w:t>7</w:t>
      </w:r>
      <w:r w:rsidR="00C24B90" w:rsidRPr="00C24B90">
        <w:t> </w:t>
      </w:r>
      <w:r w:rsidRPr="00C24B90">
        <w:t>%</w:t>
      </w:r>
      <w:r>
        <w:t xml:space="preserve"> całkowitych kwalifikowalnych kosztów bezpośrednich.</w:t>
      </w:r>
    </w:p>
    <w:p w14:paraId="7131D3EA" w14:textId="77777777" w:rsidR="00171637" w:rsidRPr="00345713" w:rsidRDefault="00171637" w:rsidP="00626B9A">
      <w:pPr>
        <w:pStyle w:val="Nagwek3"/>
      </w:pPr>
      <w:bookmarkStart w:id="144" w:name="_Toc441250861"/>
      <w:bookmarkStart w:id="145" w:name="_Toc530496955"/>
      <w:bookmarkStart w:id="146" w:name="_Toc30764056"/>
      <w:r>
        <w:t>II.19.4</w:t>
      </w:r>
      <w:r>
        <w:tab/>
        <w:t xml:space="preserve"> Koszty niekwalifikowalne</w:t>
      </w:r>
      <w:bookmarkEnd w:id="144"/>
      <w:bookmarkEnd w:id="145"/>
      <w:bookmarkEnd w:id="146"/>
    </w:p>
    <w:p w14:paraId="1F9BBBCF" w14:textId="77777777" w:rsidR="00171637" w:rsidRPr="00345713" w:rsidRDefault="00C95388" w:rsidP="00626B9A">
      <w:r>
        <w:t>Poza wszelkimi innymi kosztami, które nie spełniają warunków określonych</w:t>
      </w:r>
      <w:r w:rsidR="00C24B90">
        <w:t xml:space="preserve"> w art</w:t>
      </w:r>
      <w:r>
        <w:t>. II.19.1, za niekwalifikowalne uznaje się następujące koszty:</w:t>
      </w:r>
    </w:p>
    <w:p w14:paraId="3480BB28" w14:textId="77777777" w:rsidR="00171637" w:rsidRPr="00345713" w:rsidRDefault="00171637" w:rsidP="003A2A37">
      <w:pPr>
        <w:numPr>
          <w:ilvl w:val="0"/>
          <w:numId w:val="42"/>
        </w:numPr>
      </w:pPr>
      <w:r>
        <w:t>zwrot</w:t>
      </w:r>
      <w:r w:rsidR="00C24B90">
        <w:t xml:space="preserve"> z kap</w:t>
      </w:r>
      <w:r>
        <w:t>itału</w:t>
      </w:r>
      <w:r w:rsidR="00C24B90">
        <w:t xml:space="preserve"> i dyw</w:t>
      </w:r>
      <w:r>
        <w:t>idendy wypłacane przez beneficjenta;</w:t>
      </w:r>
    </w:p>
    <w:p w14:paraId="4998C7E5" w14:textId="77777777" w:rsidR="00171637" w:rsidRPr="00345713" w:rsidRDefault="00171637" w:rsidP="003A2A37">
      <w:pPr>
        <w:numPr>
          <w:ilvl w:val="0"/>
          <w:numId w:val="42"/>
        </w:numPr>
      </w:pPr>
      <w:r>
        <w:t>zadłużenie</w:t>
      </w:r>
      <w:r w:rsidR="00C24B90">
        <w:t xml:space="preserve"> i opł</w:t>
      </w:r>
      <w:r>
        <w:t>aty za obsługę zadłużenia;</w:t>
      </w:r>
    </w:p>
    <w:p w14:paraId="05397848" w14:textId="77777777" w:rsidR="00171637" w:rsidRPr="00345713" w:rsidRDefault="00171637" w:rsidP="003A2A37">
      <w:pPr>
        <w:numPr>
          <w:ilvl w:val="0"/>
          <w:numId w:val="42"/>
        </w:numPr>
      </w:pPr>
      <w:r>
        <w:t>rezerwy na pokrycie strat lub spłatę zadłużenia;</w:t>
      </w:r>
    </w:p>
    <w:p w14:paraId="08C81EB4" w14:textId="77777777" w:rsidR="007C14B1" w:rsidRPr="00345713" w:rsidRDefault="00171637" w:rsidP="003A2A37">
      <w:pPr>
        <w:numPr>
          <w:ilvl w:val="0"/>
          <w:numId w:val="42"/>
        </w:numPr>
      </w:pPr>
      <w:r>
        <w:t>należne odsetki;</w:t>
      </w:r>
    </w:p>
    <w:p w14:paraId="004E89E1" w14:textId="77777777" w:rsidR="00171637" w:rsidRPr="00345713" w:rsidRDefault="00171637" w:rsidP="003A2A37">
      <w:pPr>
        <w:numPr>
          <w:ilvl w:val="0"/>
          <w:numId w:val="42"/>
        </w:numPr>
      </w:pPr>
      <w:r>
        <w:t>należności wątpliwe;</w:t>
      </w:r>
    </w:p>
    <w:p w14:paraId="600C2FD6" w14:textId="77777777" w:rsidR="00171637" w:rsidRPr="00345713" w:rsidRDefault="00171637" w:rsidP="003A2A37">
      <w:pPr>
        <w:numPr>
          <w:ilvl w:val="0"/>
          <w:numId w:val="42"/>
        </w:numPr>
      </w:pPr>
      <w:r>
        <w:t>straty wynikające</w:t>
      </w:r>
      <w:r w:rsidR="00C24B90">
        <w:t xml:space="preserve"> z róż</w:t>
      </w:r>
      <w:r>
        <w:t>nic kursowych;</w:t>
      </w:r>
    </w:p>
    <w:p w14:paraId="4E94204D" w14:textId="77777777" w:rsidR="00171637" w:rsidRPr="00345713" w:rsidRDefault="00171637" w:rsidP="003A2A37">
      <w:pPr>
        <w:numPr>
          <w:ilvl w:val="0"/>
          <w:numId w:val="42"/>
        </w:numPr>
      </w:pPr>
      <w:r>
        <w:t>koszty przelewów</w:t>
      </w:r>
      <w:r w:rsidR="00C24B90">
        <w:t xml:space="preserve"> z rac</w:t>
      </w:r>
      <w:r>
        <w:t>hunków Komisji naliczane przez bank beneficjenta;</w:t>
      </w:r>
    </w:p>
    <w:p w14:paraId="23A7FFFE" w14:textId="77777777" w:rsidR="00171637" w:rsidRPr="00345713" w:rsidRDefault="00171637" w:rsidP="003A2A37">
      <w:pPr>
        <w:numPr>
          <w:ilvl w:val="0"/>
          <w:numId w:val="42"/>
        </w:numPr>
      </w:pPr>
      <w:r>
        <w:t>koszty zadeklarowane przez beneficjenta</w:t>
      </w:r>
      <w:r w:rsidR="00C24B90">
        <w:t xml:space="preserve"> w ram</w:t>
      </w:r>
      <w:r>
        <w:t>ach innego działania, na realizację którego otrzymano dotację finansowaną</w:t>
      </w:r>
      <w:r w:rsidR="00C24B90">
        <w:t xml:space="preserve"> z bud</w:t>
      </w:r>
      <w:r>
        <w:t>żetu Unii. Dotacje takie obejmują dotacje przyznawane przez państwo członkowskie</w:t>
      </w:r>
      <w:r w:rsidR="00C24B90">
        <w:t xml:space="preserve"> i fin</w:t>
      </w:r>
      <w:r>
        <w:t>ansowane</w:t>
      </w:r>
      <w:r w:rsidR="00C24B90">
        <w:t xml:space="preserve"> z bud</w:t>
      </w:r>
      <w:r>
        <w:t>żetu Unii oraz dotacje przyznawane przez organy inne niż Komisja do celów wykonania budżetu Unii</w:t>
      </w:r>
      <w:r w:rsidR="00C24B90">
        <w:t>. W szc</w:t>
      </w:r>
      <w:r>
        <w:t>zególności beneficjenci, którzy otrzymują dotację na działalność</w:t>
      </w:r>
      <w:r w:rsidR="00C24B90">
        <w:t xml:space="preserve"> z bud</w:t>
      </w:r>
      <w:r>
        <w:t xml:space="preserve">żetu UE lub Euratomu, nie mogą zadeklarować kosztów pośrednich na okres(y) objęty(-e) dotacją na działalność, chyba że mogą wykazać, że dotacja na działalność nie pokrywa żadnych kosztów działania; </w:t>
      </w:r>
    </w:p>
    <w:p w14:paraId="7F147AD4" w14:textId="77777777" w:rsidR="007C14B1" w:rsidRPr="00345713" w:rsidRDefault="00171637" w:rsidP="003A2A37">
      <w:pPr>
        <w:numPr>
          <w:ilvl w:val="0"/>
          <w:numId w:val="42"/>
        </w:numPr>
      </w:pPr>
      <w:r>
        <w:t>wkłady niepieniężne od osób trzecich;</w:t>
      </w:r>
    </w:p>
    <w:p w14:paraId="4FB902C3" w14:textId="77777777" w:rsidR="00171637" w:rsidRPr="00345713" w:rsidRDefault="00171637" w:rsidP="003A2A37">
      <w:pPr>
        <w:numPr>
          <w:ilvl w:val="0"/>
          <w:numId w:val="42"/>
        </w:numPr>
      </w:pPr>
      <w:r>
        <w:t>nadmierne lub nieuzasadnione wydatki;</w:t>
      </w:r>
    </w:p>
    <w:p w14:paraId="07ABD47A" w14:textId="77777777" w:rsidR="00171637" w:rsidRPr="00345713" w:rsidRDefault="00171637" w:rsidP="003A2A37">
      <w:pPr>
        <w:numPr>
          <w:ilvl w:val="0"/>
          <w:numId w:val="42"/>
        </w:numPr>
      </w:pPr>
      <w:r>
        <w:t>podlegający odliczeniu podatek VAT.</w:t>
      </w:r>
    </w:p>
    <w:p w14:paraId="6602F36E" w14:textId="77777777" w:rsidR="00171637" w:rsidRPr="00345713" w:rsidRDefault="000A4F91" w:rsidP="00626B9A">
      <w:pPr>
        <w:pStyle w:val="Nagwek2"/>
      </w:pPr>
      <w:bookmarkStart w:id="147" w:name="_Toc441250862"/>
      <w:bookmarkStart w:id="148" w:name="_Toc530496956"/>
      <w:bookmarkStart w:id="149" w:name="_Toc30764057"/>
      <w:r>
        <w:t>Artykuł II.20 – Możliwość wskazania</w:t>
      </w:r>
      <w:r w:rsidR="00C24B90">
        <w:t xml:space="preserve"> i zwe</w:t>
      </w:r>
      <w:r>
        <w:t>ryfikowania zadeklarowanych kwot</w:t>
      </w:r>
      <w:bookmarkEnd w:id="147"/>
      <w:bookmarkEnd w:id="148"/>
      <w:bookmarkEnd w:id="149"/>
    </w:p>
    <w:p w14:paraId="1A41BC1F" w14:textId="77777777" w:rsidR="00922B3E" w:rsidRPr="00345713" w:rsidRDefault="002A3D46" w:rsidP="002D4BBC">
      <w:pPr>
        <w:pStyle w:val="Nagwek3"/>
        <w:ind w:left="993" w:hanging="993"/>
      </w:pPr>
      <w:bookmarkStart w:id="150" w:name="_Toc441250863"/>
      <w:bookmarkStart w:id="151" w:name="_Toc530496957"/>
      <w:bookmarkStart w:id="152" w:name="_Toc30764058"/>
      <w:r>
        <w:t xml:space="preserve">II.20.1 </w:t>
      </w:r>
      <w:r>
        <w:tab/>
        <w:t>Deklarowanie kosztów</w:t>
      </w:r>
      <w:r w:rsidR="00C24B90">
        <w:t xml:space="preserve"> i wkł</w:t>
      </w:r>
      <w:r>
        <w:t>adów</w:t>
      </w:r>
      <w:bookmarkEnd w:id="150"/>
      <w:bookmarkEnd w:id="151"/>
      <w:bookmarkEnd w:id="152"/>
    </w:p>
    <w:p w14:paraId="66DAC016" w14:textId="77777777" w:rsidR="002A3D46" w:rsidRPr="00345713" w:rsidRDefault="00742DDA" w:rsidP="00691906">
      <w:r>
        <w:t>Każdy beneficjent musi zadeklarować jako koszty kwalifikowalne lub jako wkłady,</w:t>
      </w:r>
      <w:r w:rsidR="00C24B90">
        <w:t xml:space="preserve"> o wni</w:t>
      </w:r>
      <w:r>
        <w:t>esienie których się zwrócono:</w:t>
      </w:r>
    </w:p>
    <w:p w14:paraId="7107E920" w14:textId="77777777" w:rsidR="00466A85" w:rsidRPr="00345713" w:rsidRDefault="00466A85" w:rsidP="003A2A37">
      <w:pPr>
        <w:numPr>
          <w:ilvl w:val="0"/>
          <w:numId w:val="44"/>
        </w:numPr>
      </w:pPr>
      <w:r>
        <w:t>w przypadku kosztów faktycznie poniesionych: koszty, które zostały faktycznie poniesione na realizację działania;</w:t>
      </w:r>
    </w:p>
    <w:p w14:paraId="5787685C" w14:textId="77777777" w:rsidR="00466A85" w:rsidRPr="00620660" w:rsidRDefault="00466A85" w:rsidP="003A2A37">
      <w:pPr>
        <w:numPr>
          <w:ilvl w:val="0"/>
          <w:numId w:val="44"/>
        </w:numPr>
        <w:rPr>
          <w:b/>
        </w:rPr>
      </w:pPr>
      <w:r>
        <w:lastRenderedPageBreak/>
        <w:t>w przypadku kosztów jednostkowych lub wkładów jednostkowych:</w:t>
      </w:r>
      <w:r>
        <w:rPr>
          <w:b/>
        </w:rPr>
        <w:t xml:space="preserve"> </w:t>
      </w:r>
      <w:r>
        <w:t>kwotę uzyskaną po pomnożeniu kwoty jednostkowej określonej</w:t>
      </w:r>
      <w:r w:rsidR="00C24B90">
        <w:t xml:space="preserve"> w art</w:t>
      </w:r>
      <w:r>
        <w:t xml:space="preserve">. I.3.2 </w:t>
      </w:r>
      <w:r w:rsidRPr="00C24B90">
        <w:t>lit.</w:t>
      </w:r>
      <w:r w:rsidR="00C24B90" w:rsidRPr="00C24B90">
        <w:t> </w:t>
      </w:r>
      <w:r w:rsidRPr="00C24B90">
        <w:t>a)</w:t>
      </w:r>
      <w:r>
        <w:t xml:space="preserve"> </w:t>
      </w:r>
      <w:proofErr w:type="spellStart"/>
      <w:r>
        <w:t>ppkt</w:t>
      </w:r>
      <w:proofErr w:type="spellEnd"/>
      <w:r>
        <w:t xml:space="preserve"> (ii) lub</w:t>
      </w:r>
      <w:r w:rsidR="00C24B90">
        <w:t xml:space="preserve"> w art</w:t>
      </w:r>
      <w:r>
        <w:t xml:space="preserve">. I.3.2 </w:t>
      </w:r>
      <w:r w:rsidRPr="00C24B90">
        <w:t>lit.</w:t>
      </w:r>
      <w:r w:rsidR="00C24B90" w:rsidRPr="00C24B90">
        <w:t> </w:t>
      </w:r>
      <w:r w:rsidRPr="00C24B90">
        <w:t>b)</w:t>
      </w:r>
      <w:r>
        <w:t xml:space="preserve"> przez liczbę jednostek faktycznie wykorzystanych lub wyprodukowanych;</w:t>
      </w:r>
    </w:p>
    <w:p w14:paraId="00BB7575" w14:textId="77777777" w:rsidR="00314206" w:rsidRPr="00345713" w:rsidRDefault="00466A85" w:rsidP="003A2A37">
      <w:pPr>
        <w:numPr>
          <w:ilvl w:val="0"/>
          <w:numId w:val="44"/>
        </w:numPr>
        <w:rPr>
          <w:bCs/>
        </w:rPr>
      </w:pPr>
      <w:r>
        <w:t>w przypadku kosztów ryczałtowych lub wkładów ryczałtowych: łączną kwotę określoną</w:t>
      </w:r>
      <w:r w:rsidR="00C24B90">
        <w:t xml:space="preserve"> w art</w:t>
      </w:r>
      <w:r>
        <w:t xml:space="preserve">. I.3.2 </w:t>
      </w:r>
      <w:r w:rsidRPr="00C24B90">
        <w:t>lit.</w:t>
      </w:r>
      <w:r w:rsidR="00C24B90" w:rsidRPr="00C24B90">
        <w:t> </w:t>
      </w:r>
      <w:r w:rsidRPr="00C24B90">
        <w:t>a)</w:t>
      </w:r>
      <w:r>
        <w:t xml:space="preserve"> </w:t>
      </w:r>
      <w:proofErr w:type="spellStart"/>
      <w:r>
        <w:t>ppkt</w:t>
      </w:r>
      <w:proofErr w:type="spellEnd"/>
      <w:r>
        <w:t xml:space="preserve"> (iii) lub</w:t>
      </w:r>
      <w:r w:rsidR="00C24B90">
        <w:t xml:space="preserve"> w art</w:t>
      </w:r>
      <w:r>
        <w:t xml:space="preserve">. I.3.2 </w:t>
      </w:r>
      <w:r w:rsidRPr="00C24B90">
        <w:t>lit.</w:t>
      </w:r>
      <w:r w:rsidR="00C24B90" w:rsidRPr="00C24B90">
        <w:t> </w:t>
      </w:r>
      <w:r w:rsidRPr="00C24B90">
        <w:t>c)</w:t>
      </w:r>
      <w:r>
        <w:t>, jeżeli opisane</w:t>
      </w:r>
      <w:r w:rsidR="00C24B90">
        <w:t xml:space="preserve"> w zał</w:t>
      </w:r>
      <w:r>
        <w:t>ączniku I</w:t>
      </w:r>
      <w:r w:rsidR="00496B83">
        <w:t>I</w:t>
      </w:r>
      <w:r>
        <w:t xml:space="preserve"> zadania lub część </w:t>
      </w:r>
      <w:r w:rsidRPr="00E04373">
        <w:t>działania</w:t>
      </w:r>
      <w:r>
        <w:t>, na realizację których przeznaczono tę kwotę, zostały przeprowadzone</w:t>
      </w:r>
      <w:r w:rsidR="00C24B90">
        <w:t xml:space="preserve"> w pra</w:t>
      </w:r>
      <w:r>
        <w:t>widłowy sposób;</w:t>
      </w:r>
    </w:p>
    <w:p w14:paraId="3295A96D" w14:textId="77777777" w:rsidR="00314206" w:rsidRDefault="00314206" w:rsidP="003A2A37">
      <w:pPr>
        <w:numPr>
          <w:ilvl w:val="0"/>
          <w:numId w:val="44"/>
        </w:numPr>
      </w:pPr>
      <w:r>
        <w:t>w przypadku kosztów zryczałtowanych lub wkładów zryczałtowanych: kwotę uzyskaną po zastosowaniu stawki zryczałtowanej określonej</w:t>
      </w:r>
      <w:r w:rsidR="00C24B90">
        <w:t xml:space="preserve"> w art</w:t>
      </w:r>
      <w:r>
        <w:t xml:space="preserve">. I.3.2 </w:t>
      </w:r>
      <w:r w:rsidRPr="00C24B90">
        <w:t>lit.</w:t>
      </w:r>
      <w:r w:rsidR="00C24B90" w:rsidRPr="00C24B90">
        <w:t> </w:t>
      </w:r>
      <w:r w:rsidRPr="00C24B90">
        <w:t>a)</w:t>
      </w:r>
      <w:r>
        <w:t xml:space="preserve"> </w:t>
      </w:r>
      <w:proofErr w:type="spellStart"/>
      <w:r>
        <w:t>ppkt</w:t>
      </w:r>
      <w:proofErr w:type="spellEnd"/>
      <w:r>
        <w:t xml:space="preserve"> (iv) lub</w:t>
      </w:r>
      <w:r w:rsidR="00C24B90">
        <w:t xml:space="preserve"> w art</w:t>
      </w:r>
      <w:r>
        <w:t xml:space="preserve">. I.3.2 </w:t>
      </w:r>
      <w:r w:rsidRPr="00C24B90">
        <w:t>lit.</w:t>
      </w:r>
      <w:r w:rsidR="00C24B90" w:rsidRPr="00C24B90">
        <w:t> </w:t>
      </w:r>
      <w:r w:rsidRPr="00C24B90">
        <w:t>d)</w:t>
      </w:r>
      <w:r>
        <w:t>;</w:t>
      </w:r>
    </w:p>
    <w:p w14:paraId="32917C9D" w14:textId="77777777" w:rsidR="00CB6730" w:rsidRPr="00CB6730" w:rsidRDefault="00CB6730" w:rsidP="003A2A37">
      <w:pPr>
        <w:pStyle w:val="Akapitzlist"/>
        <w:numPr>
          <w:ilvl w:val="0"/>
          <w:numId w:val="44"/>
        </w:numPr>
      </w:pPr>
      <w:r>
        <w:t>w przypadku finansowania niepowiązanego</w:t>
      </w:r>
      <w:r w:rsidR="00C24B90">
        <w:t xml:space="preserve"> z kos</w:t>
      </w:r>
      <w:r>
        <w:t>ztami: łączną kwotę określoną</w:t>
      </w:r>
      <w:r w:rsidR="00C24B90">
        <w:t xml:space="preserve"> w art</w:t>
      </w:r>
      <w:r>
        <w:t xml:space="preserve">. I.3.2 </w:t>
      </w:r>
      <w:r w:rsidRPr="00C24B90">
        <w:t>lit.</w:t>
      </w:r>
      <w:r w:rsidR="00C24B90" w:rsidRPr="00C24B90">
        <w:t> </w:t>
      </w:r>
      <w:r w:rsidRPr="00C24B90">
        <w:t>e)</w:t>
      </w:r>
      <w:r>
        <w:t>, jeżeli opisane</w:t>
      </w:r>
      <w:r w:rsidR="00C24B90">
        <w:t xml:space="preserve"> w zał</w:t>
      </w:r>
      <w:r>
        <w:t>ączniku I</w:t>
      </w:r>
      <w:r w:rsidR="00496B83">
        <w:t>I</w:t>
      </w:r>
      <w:r>
        <w:t xml:space="preserve"> odnośne rezultaty lub warunki zostały odpowiednio osiągnięte lub spełnione;</w:t>
      </w:r>
    </w:p>
    <w:p w14:paraId="126652FD" w14:textId="77777777" w:rsidR="00466A85" w:rsidRPr="00345713" w:rsidRDefault="00314206" w:rsidP="003A2A37">
      <w:pPr>
        <w:numPr>
          <w:ilvl w:val="0"/>
          <w:numId w:val="44"/>
        </w:numPr>
      </w:pPr>
      <w:r>
        <w:t>w przypadku kosztów jednostkowych zadeklarowanych zgodnie ze zwyczajową praktyką księgowania kosztów stosowaną przez beneficjenta: kwotę uzyskaną po pomnożeniu kwoty jednostkowej obliczonej zgodnie ze zwyczajową praktyką księgowania kosztów stosowaną przez beneficjenta przez liczbę jednostek faktycznie wykorzystanych lub wyprodukowanych;</w:t>
      </w:r>
    </w:p>
    <w:p w14:paraId="7A8A7BBA" w14:textId="77777777" w:rsidR="00466A85" w:rsidRPr="00345713" w:rsidRDefault="00314206" w:rsidP="003A2A37">
      <w:pPr>
        <w:numPr>
          <w:ilvl w:val="0"/>
          <w:numId w:val="44"/>
        </w:numPr>
      </w:pPr>
      <w:r>
        <w:t>w przypadku kosztów ryczałtowych zadeklarowanych zgodnie ze zwyczajową praktyką księgowania kosztów stosowaną przez beneficjenta: łączną kwotę obliczoną zgodnie ze zwyczajową praktyką księgowania kosztów, jeżeli zadania lub część działania, na realizację których przeznaczono tę kwotę, zostały przeprowadzone</w:t>
      </w:r>
      <w:r w:rsidR="00C24B90">
        <w:t xml:space="preserve"> w pra</w:t>
      </w:r>
      <w:r>
        <w:t>widłowy sposób;</w:t>
      </w:r>
    </w:p>
    <w:p w14:paraId="2DB97F87" w14:textId="77777777" w:rsidR="00314206" w:rsidRPr="00345713" w:rsidRDefault="00922B3E" w:rsidP="003A2A37">
      <w:pPr>
        <w:numPr>
          <w:ilvl w:val="0"/>
          <w:numId w:val="44"/>
        </w:numPr>
      </w:pPr>
      <w:r>
        <w:t>w przypadku kosztów zryczałtowanych zadeklarowanych zgodnie ze zwyczajową praktyką księgowania kosztów stosowaną przez beneficjenta: kwotę uzyskaną po zastosowaniu stawki zryczałtowanej obliczonej zgodnie ze zwyczajową praktyką księgowania kosztów stosowaną przez beneficjenta.</w:t>
      </w:r>
    </w:p>
    <w:p w14:paraId="405E1DF5" w14:textId="77777777" w:rsidR="00922B3E" w:rsidRPr="00345713" w:rsidRDefault="00466A85" w:rsidP="002D4BBC">
      <w:pPr>
        <w:pStyle w:val="Nagwek3"/>
        <w:ind w:left="993" w:hanging="993"/>
      </w:pPr>
      <w:bookmarkStart w:id="153" w:name="_Toc441250864"/>
      <w:bookmarkStart w:id="154" w:name="_Toc530496958"/>
      <w:bookmarkStart w:id="155" w:name="_Toc30764059"/>
      <w:r>
        <w:t>II.20.2</w:t>
      </w:r>
      <w:r>
        <w:tab/>
        <w:t>Księgi rachunkowe</w:t>
      </w:r>
      <w:r w:rsidR="00C24B90">
        <w:t xml:space="preserve"> i inn</w:t>
      </w:r>
      <w:r>
        <w:t>e dokumenty potwierdzające wysokość zadeklarowanych kosztów</w:t>
      </w:r>
      <w:r w:rsidR="00C24B90">
        <w:t xml:space="preserve"> i wkł</w:t>
      </w:r>
      <w:r>
        <w:t>adów</w:t>
      </w:r>
      <w:bookmarkEnd w:id="153"/>
      <w:bookmarkEnd w:id="154"/>
      <w:bookmarkEnd w:id="155"/>
    </w:p>
    <w:p w14:paraId="75B01784" w14:textId="77777777" w:rsidR="00466A85" w:rsidRPr="00345713" w:rsidRDefault="00742DDA" w:rsidP="00AE4F1A">
      <w:r>
        <w:t>Każdy beneficjent musi przedstawić następujące dokumenty, jeżeli zostanie do tego wezwany</w:t>
      </w:r>
      <w:r w:rsidR="00C24B90">
        <w:t xml:space="preserve"> w tok</w:t>
      </w:r>
      <w:r>
        <w:t>u kontroli lub audytów,</w:t>
      </w:r>
      <w:r w:rsidR="00C24B90">
        <w:t xml:space="preserve"> o któ</w:t>
      </w:r>
      <w:r>
        <w:t>rych mowa</w:t>
      </w:r>
      <w:r w:rsidR="00C24B90">
        <w:t xml:space="preserve"> w art</w:t>
      </w:r>
      <w:r>
        <w:t>. II.27:</w:t>
      </w:r>
    </w:p>
    <w:p w14:paraId="7F832925" w14:textId="77777777" w:rsidR="00466A85" w:rsidRPr="00345713" w:rsidRDefault="00466A85" w:rsidP="003A2A37">
      <w:pPr>
        <w:numPr>
          <w:ilvl w:val="0"/>
          <w:numId w:val="45"/>
        </w:numPr>
        <w:rPr>
          <w:b/>
        </w:rPr>
      </w:pPr>
      <w:r>
        <w:t>w przypadku kosztów faktycznie poniesionych: odpowiednie dokumenty potwierdzające zawierające informacje</w:t>
      </w:r>
      <w:r w:rsidR="00C24B90">
        <w:t xml:space="preserve"> o zad</w:t>
      </w:r>
      <w:r>
        <w:t>eklarowanych kosztach, np. umowy, faktury</w:t>
      </w:r>
      <w:r w:rsidR="00C24B90">
        <w:t xml:space="preserve"> i ksi</w:t>
      </w:r>
      <w:r>
        <w:t>ęgi rachunkowe.</w:t>
      </w:r>
    </w:p>
    <w:p w14:paraId="65CE7CEE" w14:textId="77777777" w:rsidR="007F56B3" w:rsidRPr="00345713" w:rsidRDefault="00466A85" w:rsidP="00AE4F1A">
      <w:pPr>
        <w:ind w:left="709"/>
        <w:rPr>
          <w:szCs w:val="24"/>
        </w:rPr>
      </w:pPr>
      <w:r>
        <w:t>Ponadto zwyczajowa praktyka księgowania oraz procedury kontroli wewnętrznej stosowane przez beneficjenta muszą zapewniać możliwość bezpośredniego uzgodnienia zadeklarowanych kwot</w:t>
      </w:r>
      <w:r w:rsidR="00C24B90">
        <w:t xml:space="preserve"> z kwo</w:t>
      </w:r>
      <w:r>
        <w:t>tami figurującymi</w:t>
      </w:r>
      <w:r w:rsidR="00C24B90">
        <w:t xml:space="preserve"> w spr</w:t>
      </w:r>
      <w:r>
        <w:t>awozdaniach księgowych beneficjenta oraz</w:t>
      </w:r>
      <w:r w:rsidR="00C24B90">
        <w:t xml:space="preserve"> z kwo</w:t>
      </w:r>
      <w:r>
        <w:t>tami wskazanymi</w:t>
      </w:r>
      <w:r w:rsidR="00C24B90">
        <w:t xml:space="preserve"> w dok</w:t>
      </w:r>
      <w:r>
        <w:t>umentach potwierdzających;</w:t>
      </w:r>
    </w:p>
    <w:p w14:paraId="3D9BA67B" w14:textId="77777777" w:rsidR="00466A85" w:rsidRPr="00345713" w:rsidRDefault="00466A85" w:rsidP="003A2A37">
      <w:pPr>
        <w:numPr>
          <w:ilvl w:val="0"/>
          <w:numId w:val="45"/>
        </w:numPr>
      </w:pPr>
      <w:r>
        <w:t>w przypadku kosztów jednostkowych lub wkładów jednostkowych: odpowiednie dokumenty potwierdzające zawierające informacje</w:t>
      </w:r>
      <w:r w:rsidR="00C24B90">
        <w:t xml:space="preserve"> o lic</w:t>
      </w:r>
      <w:r>
        <w:t>zbie zadeklarowanych jednostek.</w:t>
      </w:r>
    </w:p>
    <w:p w14:paraId="174E855E" w14:textId="77777777" w:rsidR="00466A85" w:rsidRPr="00C24B90" w:rsidRDefault="00314206" w:rsidP="00AE4F1A">
      <w:pPr>
        <w:ind w:left="709"/>
        <w:rPr>
          <w:szCs w:val="24"/>
        </w:rPr>
      </w:pPr>
      <w:r>
        <w:t>Aby potwierdzić kwotę zadeklarowaną na jednostkę, beneficjent nie musi określać wysokości faktycznych kosztów kwalifikowalnych, które zostały pokryte, ani przedstawiać dokumentów potwierdzających, np. sprawozdań księgowych;</w:t>
      </w:r>
    </w:p>
    <w:p w14:paraId="3A5F21F8" w14:textId="77777777" w:rsidR="00314206" w:rsidRPr="00345713" w:rsidRDefault="00466A85" w:rsidP="003A2A37">
      <w:pPr>
        <w:numPr>
          <w:ilvl w:val="0"/>
          <w:numId w:val="45"/>
        </w:numPr>
      </w:pPr>
      <w:r w:rsidRPr="00C24B90">
        <w:lastRenderedPageBreak/>
        <w:t>w</w:t>
      </w:r>
      <w:r>
        <w:t xml:space="preserve"> przypadku kosztów ryczałtowych lub wkładów ryczałtowych: odpowiednie dokumenty potwierdzające zawierające informacje</w:t>
      </w:r>
      <w:r w:rsidR="00C24B90">
        <w:t xml:space="preserve"> o tym</w:t>
      </w:r>
      <w:r>
        <w:t>, że działanie zostało przeprowadzone</w:t>
      </w:r>
      <w:r w:rsidR="00C24B90">
        <w:t xml:space="preserve"> w pra</w:t>
      </w:r>
      <w:r>
        <w:t>widłowy sposób.</w:t>
      </w:r>
    </w:p>
    <w:p w14:paraId="6EA6F11F" w14:textId="77777777" w:rsidR="00314206" w:rsidRPr="00345713" w:rsidRDefault="00314206" w:rsidP="00AE4F1A">
      <w:pPr>
        <w:ind w:left="709"/>
        <w:rPr>
          <w:szCs w:val="24"/>
        </w:rPr>
      </w:pPr>
      <w:r>
        <w:t>Aby potwierdzić kwotę zadeklarowaną jako kwota ryczałtowa, beneficjent nie musi określać wysokości faktycznych kosztów kwalifikowalnych, które zostały pokryte, ani przedstawiać dokumentów potwierdzających, takich jak sprawozdania księgowe;</w:t>
      </w:r>
    </w:p>
    <w:p w14:paraId="157D1DC9" w14:textId="77777777" w:rsidR="00314206" w:rsidRPr="00345713" w:rsidRDefault="00314206" w:rsidP="003A2A37">
      <w:pPr>
        <w:numPr>
          <w:ilvl w:val="0"/>
          <w:numId w:val="45"/>
        </w:numPr>
      </w:pPr>
      <w:r>
        <w:t>w przypadku kosztów zryczałtowanych lub wkładów zryczałtowanych: odpowiednie dokumenty potwierdzające zawierające informacje</w:t>
      </w:r>
      <w:r w:rsidR="00C24B90">
        <w:t xml:space="preserve"> o kos</w:t>
      </w:r>
      <w:r>
        <w:t>ztach kwalifikowalnych lub wkładach,</w:t>
      </w:r>
      <w:r w:rsidR="00C24B90">
        <w:t xml:space="preserve"> o wni</w:t>
      </w:r>
      <w:r>
        <w:t>esienie których się zwrócono, objętych stawką zryczałtowaną.</w:t>
      </w:r>
    </w:p>
    <w:p w14:paraId="7BEC74AB" w14:textId="77777777" w:rsidR="00314206" w:rsidRPr="00345713" w:rsidRDefault="00314206" w:rsidP="00C24B90">
      <w:pPr>
        <w:ind w:left="709"/>
        <w:rPr>
          <w:szCs w:val="24"/>
        </w:rPr>
      </w:pPr>
      <w:r>
        <w:t xml:space="preserve">Aby potwierdzić zastosowaną stawkę zryczałtowaną, beneficjent nie musi określać wysokości faktycznych kosztów kwalifikowalnych, które zostały pokryte, ani przedstawiać dokumentów potwierdzających, takich jak sprawozdania księgowe; </w:t>
      </w:r>
    </w:p>
    <w:p w14:paraId="3944BD5B" w14:textId="77777777" w:rsidR="00077CA6" w:rsidRDefault="00077CA6" w:rsidP="003A2A37">
      <w:pPr>
        <w:numPr>
          <w:ilvl w:val="0"/>
          <w:numId w:val="45"/>
        </w:numPr>
      </w:pPr>
      <w:r>
        <w:t>w przypadku finansowania niepowiązanego</w:t>
      </w:r>
      <w:r w:rsidR="00C24B90">
        <w:t xml:space="preserve"> z kos</w:t>
      </w:r>
      <w:r>
        <w:t>ztami: odpowiednie dokumenty potwierdzające zawierające informacje</w:t>
      </w:r>
      <w:r w:rsidR="00C24B90">
        <w:t xml:space="preserve"> o tym</w:t>
      </w:r>
      <w:r>
        <w:t>, że działanie zostało przeprowadzone</w:t>
      </w:r>
      <w:r w:rsidR="00C24B90">
        <w:t xml:space="preserve"> w pra</w:t>
      </w:r>
      <w:r>
        <w:t>widłowy sposób.</w:t>
      </w:r>
    </w:p>
    <w:p w14:paraId="1D212201" w14:textId="77777777" w:rsidR="00077CA6" w:rsidRDefault="00077CA6" w:rsidP="00077CA6">
      <w:pPr>
        <w:ind w:left="720"/>
      </w:pPr>
      <w:r>
        <w:t>Aby potwierdzić kwotę zadeklarowaną jako finansowanie niepowiązane</w:t>
      </w:r>
      <w:r w:rsidR="00C24B90">
        <w:t xml:space="preserve"> z kos</w:t>
      </w:r>
      <w:r>
        <w:t>ztami, beneficjent nie musi określać wysokości faktycznych kosztów kwalifikowalnych, które zostały pokryte, ani przedstawiać dokumentów potwierdzających, takich jak sprawozdania księgowe;</w:t>
      </w:r>
    </w:p>
    <w:p w14:paraId="1B2240F4" w14:textId="77777777" w:rsidR="00314206" w:rsidRPr="00345713" w:rsidRDefault="00314206" w:rsidP="003A2A37">
      <w:pPr>
        <w:numPr>
          <w:ilvl w:val="0"/>
          <w:numId w:val="45"/>
        </w:numPr>
      </w:pPr>
      <w:r>
        <w:t>w przypadku kosztów jednostkowych zadeklarowanych zgodnie ze zwyczajową praktyką księgowania kosztów stosowaną przez beneficjenta: odpowiednie dokumenty potwierdzające zawierające informacje</w:t>
      </w:r>
      <w:r w:rsidR="00C24B90">
        <w:t xml:space="preserve"> o lic</w:t>
      </w:r>
      <w:r>
        <w:t>zbie zadeklarowanych jednostek;</w:t>
      </w:r>
    </w:p>
    <w:p w14:paraId="0C229A26" w14:textId="77777777" w:rsidR="00922B3E" w:rsidRPr="00345713" w:rsidRDefault="00314206" w:rsidP="003A2A37">
      <w:pPr>
        <w:numPr>
          <w:ilvl w:val="0"/>
          <w:numId w:val="45"/>
        </w:numPr>
      </w:pPr>
      <w:r>
        <w:t>w przypadku kosztów ryczałtowych zadeklarowanych zgodnie ze zwyczajową praktyką księgowania kosztów stosowaną przez beneficjenta: odpowiednie dokumenty potwierdzające zawierające informacje</w:t>
      </w:r>
      <w:r w:rsidR="00C24B90">
        <w:t xml:space="preserve"> o tym</w:t>
      </w:r>
      <w:r>
        <w:t>, że działanie zostało przeprowadzone</w:t>
      </w:r>
      <w:r w:rsidR="00C24B90">
        <w:t xml:space="preserve"> w pra</w:t>
      </w:r>
      <w:r>
        <w:t>widłowy sposób;</w:t>
      </w:r>
    </w:p>
    <w:p w14:paraId="26805E8D" w14:textId="77777777" w:rsidR="00922B3E" w:rsidRPr="00345713" w:rsidRDefault="00922B3E" w:rsidP="003A2A37">
      <w:pPr>
        <w:numPr>
          <w:ilvl w:val="0"/>
          <w:numId w:val="45"/>
        </w:numPr>
      </w:pPr>
      <w:r>
        <w:t>w przypadku kosztów zryczałtowanych zadeklarowanych zgodnie ze zwyczajową praktyką księgowania kosztów stosowaną przez beneficjenta: odpowiednie dokumenty potwierdzające zawierające informacje</w:t>
      </w:r>
      <w:r w:rsidR="00C24B90">
        <w:t xml:space="preserve"> o kos</w:t>
      </w:r>
      <w:r>
        <w:t>ztach kwalifikowalnych objętych stawką zryczałtowaną.</w:t>
      </w:r>
    </w:p>
    <w:p w14:paraId="25B80A49" w14:textId="77777777" w:rsidR="00314206" w:rsidRPr="00345713" w:rsidRDefault="00922B3E" w:rsidP="002740CE">
      <w:pPr>
        <w:pStyle w:val="Nagwek3"/>
      </w:pPr>
      <w:bookmarkStart w:id="156" w:name="_Toc441250865"/>
      <w:bookmarkStart w:id="157" w:name="_Toc530496959"/>
      <w:bookmarkStart w:id="158" w:name="_Toc30764060"/>
      <w:r>
        <w:t>II.20.3 Warunki pozwalające ocenić zgodność praktyki księgowania kosztów</w:t>
      </w:r>
      <w:bookmarkEnd w:id="156"/>
      <w:bookmarkEnd w:id="157"/>
      <w:bookmarkEnd w:id="158"/>
    </w:p>
    <w:p w14:paraId="206F5BCD" w14:textId="77777777" w:rsidR="00171637" w:rsidRPr="00345713" w:rsidRDefault="00021F41" w:rsidP="001134CC">
      <w:pPr>
        <w:tabs>
          <w:tab w:val="left" w:pos="851"/>
        </w:tabs>
        <w:autoSpaceDE w:val="0"/>
        <w:autoSpaceDN w:val="0"/>
        <w:adjustRightInd w:val="0"/>
        <w:spacing w:after="0"/>
        <w:ind w:left="960" w:hanging="960"/>
        <w:rPr>
          <w:szCs w:val="24"/>
        </w:rPr>
      </w:pPr>
      <w:r>
        <w:rPr>
          <w:b/>
        </w:rPr>
        <w:t>II.20.3.1</w:t>
      </w:r>
      <w:r>
        <w:t xml:space="preserve"> W przypadkach opisanych</w:t>
      </w:r>
      <w:r w:rsidR="00C24B90">
        <w:t xml:space="preserve"> w art</w:t>
      </w:r>
      <w:r>
        <w:t xml:space="preserve">. II.20.2 </w:t>
      </w:r>
      <w:r w:rsidRPr="00C24B90">
        <w:t>lit.</w:t>
      </w:r>
      <w:r w:rsidR="00C24B90" w:rsidRPr="00C24B90">
        <w:t> </w:t>
      </w:r>
      <w:r w:rsidRPr="00C24B90">
        <w:t>f)</w:t>
      </w:r>
      <w:r>
        <w:t>, g) i h) beneficjent nie musi określać wysokości faktycznych kosztów kwalifikowalnych, które zostały pokryte, lecz musi zapewnić zgodność praktyki księgowania kosztów, którą zastosowano do zadeklarowania kosztów kwalifikowalnych,</w:t>
      </w:r>
      <w:r w:rsidR="00C24B90">
        <w:t xml:space="preserve"> z nas</w:t>
      </w:r>
      <w:r>
        <w:t>tępującymi warunkami:</w:t>
      </w:r>
    </w:p>
    <w:p w14:paraId="6B2193AC" w14:textId="77777777" w:rsidR="00171637" w:rsidRPr="00345713" w:rsidRDefault="00171637" w:rsidP="003A2A37">
      <w:pPr>
        <w:numPr>
          <w:ilvl w:val="0"/>
          <w:numId w:val="46"/>
        </w:numPr>
        <w:ind w:left="1418" w:hanging="425"/>
      </w:pPr>
      <w:r>
        <w:t>zastosowana praktyka księgowania kosztów stanowi zwyczajową praktykę księgowania kosztów</w:t>
      </w:r>
      <w:r w:rsidR="00C24B90">
        <w:t xml:space="preserve"> i jes</w:t>
      </w:r>
      <w:r>
        <w:t>t stosowana</w:t>
      </w:r>
      <w:r w:rsidR="00C24B90">
        <w:t xml:space="preserve"> w spó</w:t>
      </w:r>
      <w:r>
        <w:t>jny sposób,</w:t>
      </w:r>
      <w:r w:rsidR="00C24B90">
        <w:t xml:space="preserve"> w opa</w:t>
      </w:r>
      <w:r>
        <w:t>rciu</w:t>
      </w:r>
      <w:r w:rsidR="00C24B90">
        <w:t xml:space="preserve"> o obi</w:t>
      </w:r>
      <w:r>
        <w:t>ektywne kryteria niezależne od źródła finansowania;</w:t>
      </w:r>
    </w:p>
    <w:p w14:paraId="022B2347" w14:textId="77777777" w:rsidR="00171637" w:rsidRPr="00345713" w:rsidRDefault="00171637" w:rsidP="003A2A37">
      <w:pPr>
        <w:numPr>
          <w:ilvl w:val="0"/>
          <w:numId w:val="46"/>
        </w:numPr>
        <w:ind w:left="1418" w:hanging="425"/>
      </w:pPr>
      <w:r>
        <w:t>zadeklarowane koszty mogą być bezpośrednio uzgodnione</w:t>
      </w:r>
      <w:r w:rsidR="00C24B90">
        <w:t xml:space="preserve"> z kwo</w:t>
      </w:r>
      <w:r>
        <w:t>tami ujętymi na kontach księgi głównej beneficjenta; oraz</w:t>
      </w:r>
    </w:p>
    <w:p w14:paraId="4BF4FC96" w14:textId="77777777" w:rsidR="00171637" w:rsidRPr="00345713" w:rsidRDefault="00171637" w:rsidP="003A2A37">
      <w:pPr>
        <w:numPr>
          <w:ilvl w:val="0"/>
          <w:numId w:val="46"/>
        </w:numPr>
        <w:ind w:left="1418" w:hanging="425"/>
      </w:pPr>
      <w:r>
        <w:lastRenderedPageBreak/>
        <w:t>kategorie kosztów stosowane do określenia kosztów zadeklarowanych nie obejmują żadnych kosztów niekwalifikowalnych ani kosztów pokrytych za pomocą innych form dotacji zgodnie</w:t>
      </w:r>
      <w:r w:rsidR="00C24B90">
        <w:t xml:space="preserve"> z art</w:t>
      </w:r>
      <w:r>
        <w:t>. I.3.2.</w:t>
      </w:r>
    </w:p>
    <w:p w14:paraId="108ADD44" w14:textId="77777777" w:rsidR="00171637" w:rsidRPr="00345713" w:rsidRDefault="00021F41" w:rsidP="00AE4F1A">
      <w:pPr>
        <w:ind w:left="993" w:hanging="993"/>
      </w:pPr>
      <w:r>
        <w:rPr>
          <w:b/>
        </w:rPr>
        <w:t>II.20.3.2</w:t>
      </w:r>
      <w:r>
        <w:tab/>
        <w:t>Jeżeli</w:t>
      </w:r>
      <w:r w:rsidR="00C24B90">
        <w:t xml:space="preserve"> w War</w:t>
      </w:r>
      <w:r>
        <w:t>unkach Szczegółowych przewidziano taką możliwość, beneficjent może zwrócić się do Komisji</w:t>
      </w:r>
      <w:r w:rsidR="00C24B90">
        <w:t xml:space="preserve"> o oce</w:t>
      </w:r>
      <w:r>
        <w:t>nę zgodności stosowanej przez niego zwyczajowej praktyki księgowania kosztów. Jeżeli jest to wymagane</w:t>
      </w:r>
      <w:r w:rsidR="00C24B90">
        <w:t xml:space="preserve"> w War</w:t>
      </w:r>
      <w:r>
        <w:t>unkach Szczegółowych, do wniosku należy załączyć poświadczenie zgodności praktyki księgowania kosztów („poświadczenie zgodności praktyki księgowania kosztów”).</w:t>
      </w:r>
    </w:p>
    <w:p w14:paraId="3A572ADB" w14:textId="77777777" w:rsidR="00F224D5" w:rsidRPr="00345713" w:rsidRDefault="00171637" w:rsidP="00AE4F1A">
      <w:pPr>
        <w:ind w:left="1560" w:hanging="567"/>
      </w:pPr>
      <w:r>
        <w:t>Poświadczenie zgodności praktyki księgowania kosztów musi:</w:t>
      </w:r>
    </w:p>
    <w:p w14:paraId="3D13F364" w14:textId="77777777" w:rsidR="00412E5A" w:rsidRPr="00345713" w:rsidRDefault="00171637" w:rsidP="003A2A37">
      <w:pPr>
        <w:numPr>
          <w:ilvl w:val="0"/>
          <w:numId w:val="47"/>
        </w:numPr>
        <w:ind w:left="1560" w:hanging="567"/>
      </w:pPr>
      <w:r>
        <w:t>zostać sporządzone przez upoważnionego biegłego rewidenta lub, jeżeli beneficjent jest podmiotem publicznym, przez właściwego</w:t>
      </w:r>
      <w:r w:rsidR="00C24B90">
        <w:t xml:space="preserve"> i nie</w:t>
      </w:r>
      <w:r>
        <w:t>zależnego urzędnika publicznego; oraz</w:t>
      </w:r>
    </w:p>
    <w:p w14:paraId="416D2961" w14:textId="77777777" w:rsidR="00171637" w:rsidRPr="00345713" w:rsidRDefault="00171637" w:rsidP="003A2A37">
      <w:pPr>
        <w:numPr>
          <w:ilvl w:val="0"/>
          <w:numId w:val="47"/>
        </w:numPr>
        <w:ind w:left="1560" w:hanging="567"/>
      </w:pPr>
      <w:r>
        <w:t>zostać sporządzone zgodnie</w:t>
      </w:r>
      <w:r w:rsidR="00C24B90">
        <w:t xml:space="preserve"> z zał</w:t>
      </w:r>
      <w:r>
        <w:t>ącznikiem VIII.</w:t>
      </w:r>
    </w:p>
    <w:p w14:paraId="13D95737" w14:textId="77777777" w:rsidR="00171637" w:rsidRPr="00345713" w:rsidRDefault="00171637" w:rsidP="00AE4F1A">
      <w:r>
        <w:t>W poświadczeniu należy potwierdzić, że praktyka księgowania kosztów stosowana przez beneficjenta</w:t>
      </w:r>
      <w:r w:rsidR="00C24B90">
        <w:t xml:space="preserve"> w cel</w:t>
      </w:r>
      <w:r>
        <w:t>u deklarowania kosztów kwalifikowalnych jest zgodna</w:t>
      </w:r>
      <w:r w:rsidR="00C24B90">
        <w:t xml:space="preserve"> z war</w:t>
      </w:r>
      <w:r>
        <w:t>unkami określonymi</w:t>
      </w:r>
      <w:r w:rsidR="00C24B90">
        <w:t xml:space="preserve"> w art</w:t>
      </w:r>
      <w:r>
        <w:t>. II.20.3.1 oraz</w:t>
      </w:r>
      <w:r w:rsidR="00C24B90">
        <w:t xml:space="preserve"> z dod</w:t>
      </w:r>
      <w:r>
        <w:t>atkowymi warunkami, które mogą zostać ustanowione</w:t>
      </w:r>
      <w:r w:rsidR="00C24B90">
        <w:t xml:space="preserve"> w War</w:t>
      </w:r>
      <w:r>
        <w:t>unkach Szczegółowych.</w:t>
      </w:r>
    </w:p>
    <w:p w14:paraId="13F39ED1" w14:textId="77777777" w:rsidR="007F13C5" w:rsidRPr="00345713" w:rsidRDefault="00021F41" w:rsidP="00AE4F1A">
      <w:pPr>
        <w:ind w:left="993" w:hanging="993"/>
      </w:pPr>
      <w:r>
        <w:rPr>
          <w:b/>
        </w:rPr>
        <w:t>II.20.3.3</w:t>
      </w:r>
      <w:r>
        <w:tab/>
        <w:t>Jeżeli Komisja potwierdziła zgodność zwyczajowej praktyki księgowania kosztów stosowanej przez beneficjenta, koszty zadeklarowane</w:t>
      </w:r>
      <w:r w:rsidR="00C24B90">
        <w:t xml:space="preserve"> w rez</w:t>
      </w:r>
      <w:r>
        <w:t>ultacie stosowania tej praktyki nie mogą zostać zakwestionowane ex post, jeżeli:</w:t>
      </w:r>
    </w:p>
    <w:p w14:paraId="0420767F" w14:textId="77777777" w:rsidR="007F13C5" w:rsidRPr="00345713" w:rsidRDefault="00171637" w:rsidP="003A2A37">
      <w:pPr>
        <w:numPr>
          <w:ilvl w:val="0"/>
          <w:numId w:val="48"/>
        </w:numPr>
        <w:ind w:left="1418" w:hanging="425"/>
      </w:pPr>
      <w:r>
        <w:t>faktycznie stosowana praktyka jest zgodna</w:t>
      </w:r>
      <w:r w:rsidR="00C24B90">
        <w:t xml:space="preserve"> z pra</w:t>
      </w:r>
      <w:r>
        <w:t>ktyką zatwierdzoną przez Komisję; oraz</w:t>
      </w:r>
    </w:p>
    <w:p w14:paraId="6C6E8CF2" w14:textId="77777777" w:rsidR="00171637" w:rsidRPr="00345713" w:rsidRDefault="00171637" w:rsidP="003A2A37">
      <w:pPr>
        <w:numPr>
          <w:ilvl w:val="0"/>
          <w:numId w:val="48"/>
        </w:numPr>
        <w:ind w:left="1418" w:hanging="425"/>
      </w:pPr>
      <w:r>
        <w:t>beneficjent nie zataił żadnych informacji</w:t>
      </w:r>
      <w:r w:rsidR="00C24B90">
        <w:t xml:space="preserve"> w cel</w:t>
      </w:r>
      <w:r>
        <w:t>u uzyskania zatwierdzenia stosowanej przez niego praktyki księgowania kosztów.</w:t>
      </w:r>
    </w:p>
    <w:p w14:paraId="68222390" w14:textId="77777777" w:rsidR="00171637" w:rsidRPr="00345713" w:rsidRDefault="000A4F91" w:rsidP="002740CE">
      <w:pPr>
        <w:pStyle w:val="Nagwek2"/>
      </w:pPr>
      <w:bookmarkStart w:id="159" w:name="_Toc441250866"/>
      <w:bookmarkStart w:id="160" w:name="_Toc530496960"/>
      <w:bookmarkStart w:id="161" w:name="_Toc30764061"/>
      <w:r>
        <w:t>Artykuł II.21 – Kwalifikowalność kosztów ponoszonych przez podmioty powiązane</w:t>
      </w:r>
      <w:r w:rsidR="00C24B90">
        <w:t xml:space="preserve"> z ben</w:t>
      </w:r>
      <w:r>
        <w:t>eficjentami</w:t>
      </w:r>
      <w:bookmarkEnd w:id="159"/>
      <w:bookmarkEnd w:id="160"/>
      <w:bookmarkEnd w:id="161"/>
    </w:p>
    <w:p w14:paraId="00BB2AB3" w14:textId="77777777" w:rsidR="00983ACF" w:rsidRPr="00345713" w:rsidRDefault="008B5497" w:rsidP="002740CE">
      <w:r>
        <w:t>Jeżeli Warunki Szczegółowe zawierają przepis dotyczący podmiotów powiązanych</w:t>
      </w:r>
      <w:r w:rsidR="00C24B90">
        <w:t xml:space="preserve"> z ben</w:t>
      </w:r>
      <w:r>
        <w:t>eficjentem, koszty poniesione przez taki podmiot są kwalifikowalne, jeżeli:</w:t>
      </w:r>
    </w:p>
    <w:p w14:paraId="2761D146" w14:textId="77777777" w:rsidR="00983ACF" w:rsidRPr="00345713" w:rsidRDefault="00171637" w:rsidP="003A2A37">
      <w:pPr>
        <w:numPr>
          <w:ilvl w:val="0"/>
          <w:numId w:val="49"/>
        </w:numPr>
      </w:pPr>
      <w:r>
        <w:t>spełniają one warunki analogiczne do tych mających zastosowanie do beneficjenta zgodnie</w:t>
      </w:r>
      <w:r w:rsidR="00C24B90">
        <w:t xml:space="preserve"> z art</w:t>
      </w:r>
      <w:r>
        <w:t>. II.19 i II.20; oraz</w:t>
      </w:r>
    </w:p>
    <w:p w14:paraId="6EA61F67" w14:textId="77777777" w:rsidR="00171637" w:rsidRPr="00345713" w:rsidRDefault="00171637" w:rsidP="003A2A37">
      <w:pPr>
        <w:numPr>
          <w:ilvl w:val="0"/>
          <w:numId w:val="49"/>
        </w:numPr>
      </w:pPr>
      <w:r>
        <w:t>beneficjent,</w:t>
      </w:r>
      <w:r w:rsidR="00C24B90">
        <w:t xml:space="preserve"> z któ</w:t>
      </w:r>
      <w:r>
        <w:t>rym dany podmiot jest powiązany, zagwarantuje, że warunki mające zastosowanie do beneficjenta zgodnie</w:t>
      </w:r>
      <w:r w:rsidR="00C24B90">
        <w:t xml:space="preserve"> z art</w:t>
      </w:r>
      <w:r>
        <w:t>. II.4, II.5, II.6, II.8, II.10, II.11 i II.27 mają zastosowanie również do tego podmiotu.</w:t>
      </w:r>
    </w:p>
    <w:p w14:paraId="760FA7DD" w14:textId="77777777" w:rsidR="00171637" w:rsidRPr="00345713" w:rsidRDefault="000A4F91" w:rsidP="002740CE">
      <w:pPr>
        <w:pStyle w:val="Nagwek2"/>
      </w:pPr>
      <w:bookmarkStart w:id="162" w:name="_Toc441250867"/>
      <w:bookmarkStart w:id="163" w:name="_Toc530496961"/>
      <w:bookmarkStart w:id="164" w:name="_Toc30764062"/>
      <w:r>
        <w:t>Artykuł II.22 – Przesunięcia budżetowe</w:t>
      </w:r>
      <w:bookmarkEnd w:id="162"/>
      <w:bookmarkEnd w:id="163"/>
      <w:bookmarkEnd w:id="164"/>
    </w:p>
    <w:p w14:paraId="51A7D207" w14:textId="77777777" w:rsidR="00171637" w:rsidRPr="00345713" w:rsidRDefault="00F00A68" w:rsidP="002740CE">
      <w:r>
        <w:t xml:space="preserve">Jeżeli </w:t>
      </w:r>
      <w:r w:rsidRPr="006C308E">
        <w:t>działanie</w:t>
      </w:r>
      <w:r>
        <w:t xml:space="preserve"> jest realizowane</w:t>
      </w:r>
      <w:r w:rsidR="00C24B90">
        <w:t xml:space="preserve"> w spo</w:t>
      </w:r>
      <w:r>
        <w:t>sób opisany</w:t>
      </w:r>
      <w:r w:rsidR="00C24B90">
        <w:t xml:space="preserve"> w zał</w:t>
      </w:r>
      <w:r>
        <w:t>ączniku I</w:t>
      </w:r>
      <w:r w:rsidR="00496B83">
        <w:t>I</w:t>
      </w:r>
      <w:r>
        <w:t>, beneficjenci mogą dostosowywać szacowany budżet określony</w:t>
      </w:r>
      <w:r w:rsidR="00C24B90">
        <w:t xml:space="preserve"> w zał</w:t>
      </w:r>
      <w:r>
        <w:t>ączniku II, dokonując przesunięć między swoimi budżetami oraz między różnymi kategoriami budżetowymi. Takie dostosowywanie budżetu nie wiąże się</w:t>
      </w:r>
      <w:r w:rsidR="00C24B90">
        <w:t xml:space="preserve"> z kon</w:t>
      </w:r>
      <w:r>
        <w:t>iecznością wprowadzenia zmian</w:t>
      </w:r>
      <w:r w:rsidR="00C24B90">
        <w:t xml:space="preserve"> w Umo</w:t>
      </w:r>
      <w:r>
        <w:t>wie zgodnie</w:t>
      </w:r>
      <w:r w:rsidR="00C24B90">
        <w:t xml:space="preserve"> z art</w:t>
      </w:r>
      <w:r>
        <w:t>. II.13.</w:t>
      </w:r>
    </w:p>
    <w:p w14:paraId="2E31436A" w14:textId="77777777" w:rsidR="00FF0355" w:rsidRPr="00345713" w:rsidRDefault="00FF0355" w:rsidP="002740CE">
      <w:r>
        <w:lastRenderedPageBreak/>
        <w:t xml:space="preserve">Beneficjenci nie mogą jednak dodawać kosztów związanych ze </w:t>
      </w:r>
      <w:r w:rsidRPr="006C308E">
        <w:t>zleceniami podwykonawstwa</w:t>
      </w:r>
      <w:r>
        <w:t>, które nie zostały przewidziane</w:t>
      </w:r>
      <w:r w:rsidR="00C24B90">
        <w:t xml:space="preserve"> w zał</w:t>
      </w:r>
      <w:r>
        <w:t xml:space="preserve">ączniku 1, chyba że takie dodatkowe </w:t>
      </w:r>
      <w:r w:rsidRPr="006C308E">
        <w:t>zlecenia podwykonawstwa</w:t>
      </w:r>
      <w:r>
        <w:t xml:space="preserve"> zostały zatwierdzone przez Komisję zgodnie</w:t>
      </w:r>
      <w:r w:rsidR="00C24B90">
        <w:t xml:space="preserve"> z art</w:t>
      </w:r>
      <w:r>
        <w:t xml:space="preserve">. II.11.1 </w:t>
      </w:r>
      <w:r w:rsidRPr="00C24B90">
        <w:t>lit.</w:t>
      </w:r>
      <w:r w:rsidR="00C24B90" w:rsidRPr="00C24B90">
        <w:t> </w:t>
      </w:r>
      <w:r w:rsidRPr="00C24B90">
        <w:t>d)</w:t>
      </w:r>
      <w:r>
        <w:t>.</w:t>
      </w:r>
    </w:p>
    <w:p w14:paraId="32F4106D" w14:textId="77777777" w:rsidR="00171637" w:rsidRPr="00C24B90" w:rsidRDefault="0070353C" w:rsidP="002740CE">
      <w:r>
        <w:t>W drodze odstępstwa od przepisów akapitu pierwszego, jeżeli beneficjenci zamierzają zmienić wartość wkładu, do którego każdy</w:t>
      </w:r>
      <w:r w:rsidR="00C24B90">
        <w:t xml:space="preserve"> z nic</w:t>
      </w:r>
      <w:r>
        <w:t>h jest uprawniony, zgodnie</w:t>
      </w:r>
      <w:r w:rsidR="00C24B90">
        <w:t xml:space="preserve"> z art</w:t>
      </w:r>
      <w:r>
        <w:t xml:space="preserve">. II.26.3 akapit trzeci </w:t>
      </w:r>
      <w:r w:rsidRPr="00C24B90">
        <w:t>lit.</w:t>
      </w:r>
      <w:r w:rsidR="00C24B90" w:rsidRPr="00C24B90">
        <w:t> </w:t>
      </w:r>
      <w:r w:rsidRPr="00C24B90">
        <w:t>c)</w:t>
      </w:r>
      <w:r>
        <w:t>, koordynator musi zwrócić się</w:t>
      </w:r>
      <w:r w:rsidR="00C24B90">
        <w:t xml:space="preserve"> o dok</w:t>
      </w:r>
      <w:r>
        <w:t>onanie zmiany Umowy zgodnie</w:t>
      </w:r>
      <w:r w:rsidR="00C24B90">
        <w:t xml:space="preserve"> z art</w:t>
      </w:r>
      <w:r>
        <w:t>. II.13</w:t>
      </w:r>
      <w:r w:rsidRPr="00C24B90">
        <w:t>.</w:t>
      </w:r>
      <w:r w:rsidR="00C24B90" w:rsidRPr="00C24B90">
        <w:t xml:space="preserve"> </w:t>
      </w:r>
    </w:p>
    <w:p w14:paraId="5826F40C" w14:textId="77777777" w:rsidR="00171637" w:rsidRPr="00345713" w:rsidRDefault="00171637" w:rsidP="002740CE">
      <w:pPr>
        <w:rPr>
          <w:i/>
        </w:rPr>
      </w:pPr>
      <w:r>
        <w:t>Postanowienia pierwszych trzech akapitów nie mają zastosowania do kwot, które – zgodnie</w:t>
      </w:r>
      <w:r w:rsidR="00C24B90">
        <w:t xml:space="preserve"> z art</w:t>
      </w:r>
      <w:r>
        <w:t xml:space="preserve">. I.3.2 </w:t>
      </w:r>
      <w:r w:rsidRPr="00C24B90">
        <w:t>lit.</w:t>
      </w:r>
      <w:r w:rsidR="00C24B90" w:rsidRPr="00C24B90">
        <w:t> </w:t>
      </w:r>
      <w:r w:rsidRPr="00C24B90">
        <w:t>a)</w:t>
      </w:r>
      <w:r>
        <w:t xml:space="preserve"> </w:t>
      </w:r>
      <w:proofErr w:type="spellStart"/>
      <w:r>
        <w:t>ppkt</w:t>
      </w:r>
      <w:proofErr w:type="spellEnd"/>
      <w:r>
        <w:t xml:space="preserve"> (iii) lub art. I.3.2 </w:t>
      </w:r>
      <w:r w:rsidRPr="00C24B90">
        <w:t>lit.</w:t>
      </w:r>
      <w:r w:rsidR="00C24B90" w:rsidRPr="00C24B90">
        <w:t> </w:t>
      </w:r>
      <w:r w:rsidRPr="00C24B90">
        <w:t>c)</w:t>
      </w:r>
      <w:r>
        <w:t xml:space="preserve"> – przyjmują formę kwot ryczałtowych, lub które – zgodnie</w:t>
      </w:r>
      <w:r w:rsidR="00C24B90">
        <w:t xml:space="preserve"> z art</w:t>
      </w:r>
      <w:r>
        <w:t xml:space="preserve">. I.3.2 </w:t>
      </w:r>
      <w:r w:rsidRPr="00C24B90">
        <w:t>lit.</w:t>
      </w:r>
      <w:r w:rsidR="00C24B90" w:rsidRPr="00C24B90">
        <w:t> </w:t>
      </w:r>
      <w:r w:rsidRPr="00C24B90">
        <w:t>e)</w:t>
      </w:r>
      <w:r>
        <w:t xml:space="preserve"> – przyjmują formę finansowania niepowiązanego</w:t>
      </w:r>
      <w:r w:rsidR="00C24B90">
        <w:t xml:space="preserve"> z kos</w:t>
      </w:r>
      <w:r>
        <w:t>ztami.</w:t>
      </w:r>
    </w:p>
    <w:p w14:paraId="696D5104" w14:textId="77777777" w:rsidR="00171637" w:rsidRPr="00345713" w:rsidRDefault="000A4F91" w:rsidP="002740CE">
      <w:pPr>
        <w:pStyle w:val="Nagwek2"/>
      </w:pPr>
      <w:bookmarkStart w:id="165" w:name="_Toc441250868"/>
      <w:bookmarkStart w:id="166" w:name="_Toc530496962"/>
      <w:bookmarkStart w:id="167" w:name="_Toc30764063"/>
      <w:r>
        <w:t>Artykuł II.23 – Niewywiązanie się</w:t>
      </w:r>
      <w:r w:rsidR="00C24B90">
        <w:t xml:space="preserve"> z obo</w:t>
      </w:r>
      <w:r>
        <w:t>wiązków sprawozdawczych</w:t>
      </w:r>
      <w:bookmarkEnd w:id="165"/>
      <w:bookmarkEnd w:id="166"/>
      <w:bookmarkEnd w:id="167"/>
    </w:p>
    <w:p w14:paraId="21C9EC6F" w14:textId="77777777" w:rsidR="00C93DAB" w:rsidRPr="00345713" w:rsidRDefault="00C93DAB" w:rsidP="00242651">
      <w:pPr>
        <w:spacing w:after="0"/>
        <w:rPr>
          <w:bCs/>
          <w:szCs w:val="24"/>
        </w:rPr>
      </w:pPr>
      <w:r>
        <w:t>Komisja może wypowiedzieć Umowę zgodnie</w:t>
      </w:r>
      <w:r w:rsidR="00C24B90">
        <w:t xml:space="preserve"> z art</w:t>
      </w:r>
      <w:r>
        <w:t xml:space="preserve">. II.17.3.1 </w:t>
      </w:r>
      <w:r w:rsidRPr="00C24B90">
        <w:t>lit.</w:t>
      </w:r>
      <w:r w:rsidR="00C24B90" w:rsidRPr="00C24B90">
        <w:t> </w:t>
      </w:r>
      <w:r w:rsidRPr="00C24B90">
        <w:t>c)</w:t>
      </w:r>
      <w:r>
        <w:t xml:space="preserve"> oraz zmniejszyć kwotę dotacji zgodnie</w:t>
      </w:r>
      <w:r w:rsidR="00C24B90">
        <w:t xml:space="preserve"> z art</w:t>
      </w:r>
      <w:r>
        <w:t>. II.25.4, jeżeli koordynator:</w:t>
      </w:r>
    </w:p>
    <w:p w14:paraId="5A8019F7" w14:textId="77777777" w:rsidR="00C93DAB" w:rsidRPr="00345713" w:rsidRDefault="00C93DAB" w:rsidP="003A2A37">
      <w:pPr>
        <w:numPr>
          <w:ilvl w:val="0"/>
          <w:numId w:val="50"/>
        </w:numPr>
        <w:rPr>
          <w:bCs/>
        </w:rPr>
      </w:pPr>
      <w:r>
        <w:t>nie złożył wniosku</w:t>
      </w:r>
      <w:r w:rsidR="00C24B90">
        <w:t xml:space="preserve"> o pła</w:t>
      </w:r>
      <w:r>
        <w:t>tność okresową lub</w:t>
      </w:r>
      <w:r w:rsidR="00C24B90">
        <w:t xml:space="preserve"> o dok</w:t>
      </w:r>
      <w:r>
        <w:t>onanie płatności salda wraz</w:t>
      </w:r>
      <w:r w:rsidR="00C24B90">
        <w:t xml:space="preserve"> z dok</w:t>
      </w:r>
      <w:r>
        <w:t>umentami,</w:t>
      </w:r>
      <w:r w:rsidR="00C24B90">
        <w:t xml:space="preserve"> o któ</w:t>
      </w:r>
      <w:r>
        <w:t>rych mowa</w:t>
      </w:r>
      <w:r w:rsidR="00C24B90">
        <w:t xml:space="preserve"> w art</w:t>
      </w:r>
      <w:r>
        <w:t>. I.4.3 lub I.4.4,</w:t>
      </w:r>
      <w:r w:rsidR="00C24B90">
        <w:t xml:space="preserve"> w ter</w:t>
      </w:r>
      <w:r>
        <w:t>minie 60 dni kalendarzowych od dnia zakończenia odpowiedniego okresu sprawozdawczego; oraz</w:t>
      </w:r>
    </w:p>
    <w:p w14:paraId="7F71090B" w14:textId="77777777" w:rsidR="00171637" w:rsidRPr="00345713" w:rsidRDefault="00C93DAB" w:rsidP="003A2A37">
      <w:pPr>
        <w:numPr>
          <w:ilvl w:val="0"/>
          <w:numId w:val="50"/>
        </w:numPr>
        <w:rPr>
          <w:i/>
        </w:rPr>
      </w:pPr>
      <w:r>
        <w:t>w dalszym ciągu nie złożył takiego wniosku po upływie kolejnych 60 dni kalendarzowych od dnia otrzymania pisemnego upomnienia wystosowanego przez Komisję.</w:t>
      </w:r>
    </w:p>
    <w:p w14:paraId="2E74F5EA" w14:textId="77777777" w:rsidR="00171637" w:rsidRPr="00345713" w:rsidRDefault="000A4F91" w:rsidP="002740CE">
      <w:pPr>
        <w:pStyle w:val="Nagwek2"/>
      </w:pPr>
      <w:bookmarkStart w:id="168" w:name="_Toc441250869"/>
      <w:bookmarkStart w:id="169" w:name="_Toc530496963"/>
      <w:bookmarkStart w:id="170" w:name="_Toc30764064"/>
      <w:r>
        <w:t>Artykuł II.24 – Zawieszenie płatności oraz zawieszenie biegu terminu płatności</w:t>
      </w:r>
      <w:bookmarkEnd w:id="168"/>
      <w:bookmarkEnd w:id="169"/>
      <w:bookmarkEnd w:id="170"/>
    </w:p>
    <w:p w14:paraId="580AE2DB" w14:textId="77777777" w:rsidR="00B43219" w:rsidRPr="00C24B90" w:rsidRDefault="00B43219" w:rsidP="002740CE">
      <w:pPr>
        <w:pStyle w:val="Nagwek3"/>
      </w:pPr>
      <w:bookmarkStart w:id="171" w:name="_Toc441250870"/>
      <w:bookmarkStart w:id="172" w:name="_Toc530496964"/>
      <w:bookmarkStart w:id="173" w:name="_Toc30764065"/>
      <w:r>
        <w:t>II.24.1 Zawieszenie płatnośc</w:t>
      </w:r>
      <w:r w:rsidRPr="00C24B90">
        <w:t>i</w:t>
      </w:r>
      <w:bookmarkEnd w:id="171"/>
      <w:bookmarkEnd w:id="172"/>
      <w:bookmarkEnd w:id="173"/>
      <w:r w:rsidR="00C24B90" w:rsidRPr="00C24B90">
        <w:t xml:space="preserve"> </w:t>
      </w:r>
    </w:p>
    <w:p w14:paraId="34ADC506" w14:textId="77777777" w:rsidR="00B336BD" w:rsidRPr="00345713" w:rsidRDefault="0031162A" w:rsidP="002740CE">
      <w:pPr>
        <w:pStyle w:val="Nagwek4"/>
      </w:pPr>
      <w:r>
        <w:t>II.24.1.1 Podstawy zawieszenia</w:t>
      </w:r>
    </w:p>
    <w:p w14:paraId="096C4C60" w14:textId="77777777" w:rsidR="009A2A93" w:rsidRPr="00345713" w:rsidRDefault="009A2A93" w:rsidP="002740CE">
      <w:r>
        <w:t>Komisja może</w:t>
      </w:r>
      <w:r w:rsidR="00C24B90">
        <w:t xml:space="preserve"> w dow</w:t>
      </w:r>
      <w:r>
        <w:t>olnym momencie zawiesić całość lub część płatności zaliczkowej</w:t>
      </w:r>
      <w:r w:rsidR="00C24B90">
        <w:t xml:space="preserve"> i pła</w:t>
      </w:r>
      <w:r>
        <w:t>tności okresowych</w:t>
      </w:r>
      <w:r w:rsidR="00C24B90">
        <w:t xml:space="preserve"> w odn</w:t>
      </w:r>
      <w:r>
        <w:t>iesieniu do jednego beneficjenta lub większej ich liczby lub płatności salda</w:t>
      </w:r>
      <w:r w:rsidR="00C24B90">
        <w:t xml:space="preserve"> w odn</w:t>
      </w:r>
      <w:r>
        <w:t>iesieniu do wszystkich beneficjentów:</w:t>
      </w:r>
    </w:p>
    <w:p w14:paraId="1ABAC682" w14:textId="77777777" w:rsidR="009A2A93" w:rsidRPr="00345713" w:rsidRDefault="009A2A93" w:rsidP="003A2A37">
      <w:pPr>
        <w:numPr>
          <w:ilvl w:val="0"/>
          <w:numId w:val="51"/>
        </w:numPr>
      </w:pPr>
      <w:r>
        <w:t>jeżeli ma dowody, że beneficjent dopuścił się poważnych nieprawidłowości, nadużyć finansowych lub naruszenia obowiązków</w:t>
      </w:r>
      <w:r w:rsidR="00C24B90">
        <w:t xml:space="preserve"> w pro</w:t>
      </w:r>
      <w:r>
        <w:t>cedurze udzielania dotacji lub realizacji Umowy;</w:t>
      </w:r>
    </w:p>
    <w:p w14:paraId="0A5E3595" w14:textId="77777777" w:rsidR="009A2A93" w:rsidRPr="00345713" w:rsidRDefault="009A2A93" w:rsidP="003A2A37">
      <w:pPr>
        <w:numPr>
          <w:ilvl w:val="0"/>
          <w:numId w:val="51"/>
        </w:numPr>
      </w:pPr>
      <w:r>
        <w:t>jeżeli ma dowody, że beneficjent dopuścił się systemowych lub powtarzających się nieprawidłowości, nadużyć finansowych lub poważnego naruszenia obowiązków spoczywających na nim</w:t>
      </w:r>
      <w:r w:rsidR="00C24B90">
        <w:t xml:space="preserve"> w zwi</w:t>
      </w:r>
      <w:r>
        <w:t>ązku</w:t>
      </w:r>
      <w:r w:rsidR="00C24B90">
        <w:t xml:space="preserve"> z inn</w:t>
      </w:r>
      <w:r>
        <w:t>ymi dotacjami finansowanymi przez Unię lub Europejską Wspólnotę Energii Atomowej („</w:t>
      </w:r>
      <w:proofErr w:type="spellStart"/>
      <w:r>
        <w:t>Euratom</w:t>
      </w:r>
      <w:proofErr w:type="spellEnd"/>
      <w:r>
        <w:t>”), których udzielono mu na podobnych warunkach,</w:t>
      </w:r>
      <w:r w:rsidR="00C24B90">
        <w:t xml:space="preserve"> a wsp</w:t>
      </w:r>
      <w:r>
        <w:t>omniane nieprawidłowości, nadużycia finansowe lub przypadki naruszenia obowiązków wywierają istotny wpływ na przedmiotową dotację; lub</w:t>
      </w:r>
    </w:p>
    <w:p w14:paraId="5B3A4C20" w14:textId="77777777" w:rsidR="009A2A93" w:rsidRPr="00345713" w:rsidRDefault="009A2A93" w:rsidP="003A2A37">
      <w:pPr>
        <w:numPr>
          <w:ilvl w:val="0"/>
          <w:numId w:val="51"/>
        </w:numPr>
      </w:pPr>
      <w:r>
        <w:t>jeżeli Komisja podejrzewa, że beneficjent dopuścił się nieprawidłowości, nadużyć finansowych lub naruszenia obowiązków</w:t>
      </w:r>
      <w:r w:rsidR="00C24B90">
        <w:t xml:space="preserve"> w pro</w:t>
      </w:r>
      <w:r>
        <w:t>cedurze przyznania dotacji lub podczas realizacji Umowy,</w:t>
      </w:r>
      <w:r w:rsidR="00C24B90">
        <w:t xml:space="preserve"> i mus</w:t>
      </w:r>
      <w:r>
        <w:t>i sprawdzić, czy taka sytuacja rzeczywiście miała miejsce.</w:t>
      </w:r>
    </w:p>
    <w:p w14:paraId="66874DE6" w14:textId="77777777" w:rsidR="00B336BD" w:rsidRPr="00345713" w:rsidRDefault="0031162A" w:rsidP="002740CE">
      <w:pPr>
        <w:pStyle w:val="Nagwek4"/>
      </w:pPr>
      <w:r>
        <w:t>II.24.1.2 Procedura zawieszenia</w:t>
      </w:r>
    </w:p>
    <w:p w14:paraId="6FC46E6E" w14:textId="77777777" w:rsidR="009A2A93" w:rsidRPr="00345713" w:rsidRDefault="00B336BD" w:rsidP="00AE4F1A">
      <w:r>
        <w:rPr>
          <w:b/>
        </w:rPr>
        <w:lastRenderedPageBreak/>
        <w:t>Etap 1</w:t>
      </w:r>
      <w:r>
        <w:t xml:space="preserve"> – przed zawieszeniem płatności Komisja musi przekazać koordynatorowi formalne zawiadomienie:</w:t>
      </w:r>
    </w:p>
    <w:p w14:paraId="5DCD7828" w14:textId="77777777" w:rsidR="00615AA0" w:rsidRPr="00345713" w:rsidRDefault="009A2A93" w:rsidP="003A2A37">
      <w:pPr>
        <w:numPr>
          <w:ilvl w:val="0"/>
          <w:numId w:val="52"/>
        </w:numPr>
      </w:pPr>
      <w:r>
        <w:t>w którym poinformuje go o:</w:t>
      </w:r>
    </w:p>
    <w:p w14:paraId="2E877CA9" w14:textId="77777777" w:rsidR="00615AA0" w:rsidRPr="00345713" w:rsidRDefault="009A2A93" w:rsidP="003A2A37">
      <w:pPr>
        <w:numPr>
          <w:ilvl w:val="0"/>
          <w:numId w:val="53"/>
        </w:numPr>
        <w:ind w:left="1276" w:hanging="567"/>
      </w:pPr>
      <w:r>
        <w:t>zamiarze zawieszenia płatności;</w:t>
      </w:r>
    </w:p>
    <w:p w14:paraId="1EC628FA" w14:textId="77777777" w:rsidR="009A2A93" w:rsidRPr="00C24B90" w:rsidRDefault="009A2A93" w:rsidP="003A2A37">
      <w:pPr>
        <w:numPr>
          <w:ilvl w:val="0"/>
          <w:numId w:val="53"/>
        </w:numPr>
        <w:ind w:left="1276" w:hanging="567"/>
      </w:pPr>
      <w:r>
        <w:t>przyczynach zawieszenia</w:t>
      </w:r>
      <w:r w:rsidRPr="00C24B90">
        <w:t>;</w:t>
      </w:r>
      <w:r w:rsidR="00C24B90" w:rsidRPr="00C24B90">
        <w:t xml:space="preserve"> </w:t>
      </w:r>
    </w:p>
    <w:p w14:paraId="331EC089" w14:textId="77777777" w:rsidR="009A2A93" w:rsidRPr="00345713" w:rsidRDefault="00615AA0" w:rsidP="003A2A37">
      <w:pPr>
        <w:numPr>
          <w:ilvl w:val="0"/>
          <w:numId w:val="53"/>
        </w:numPr>
        <w:ind w:left="1276" w:hanging="567"/>
      </w:pPr>
      <w:r>
        <w:t>w przypadkach,</w:t>
      </w:r>
      <w:r w:rsidR="00C24B90">
        <w:t xml:space="preserve"> o któ</w:t>
      </w:r>
      <w:r>
        <w:t>rych mowa</w:t>
      </w:r>
      <w:r w:rsidR="00C24B90">
        <w:t xml:space="preserve"> w art</w:t>
      </w:r>
      <w:r>
        <w:t xml:space="preserve">. II.24.1.1 </w:t>
      </w:r>
      <w:r w:rsidRPr="00C24B90">
        <w:t>lit.</w:t>
      </w:r>
      <w:r w:rsidR="00C24B90" w:rsidRPr="00C24B90">
        <w:t> </w:t>
      </w:r>
      <w:r w:rsidRPr="00C24B90">
        <w:t>a)</w:t>
      </w:r>
      <w:r>
        <w:t xml:space="preserve"> i b), warunkach, które muszą zostać spełnione, aby można było wznowić płatności; oraz</w:t>
      </w:r>
    </w:p>
    <w:p w14:paraId="3DCD06B6" w14:textId="77777777" w:rsidR="00615AA0" w:rsidRPr="00345713" w:rsidRDefault="009A2A93" w:rsidP="003A2A37">
      <w:pPr>
        <w:numPr>
          <w:ilvl w:val="0"/>
          <w:numId w:val="52"/>
        </w:numPr>
      </w:pPr>
      <w:r>
        <w:t>wezwie go do przedstawienia uwag</w:t>
      </w:r>
      <w:r w:rsidR="00C24B90">
        <w:t xml:space="preserve"> w ter</w:t>
      </w:r>
      <w:r>
        <w:t>minie 30 dni kalendarzowych od dnia otrzymania formalnego zawiadomienia.</w:t>
      </w:r>
    </w:p>
    <w:p w14:paraId="7D873DC5" w14:textId="77777777" w:rsidR="0031162A" w:rsidRPr="00345713" w:rsidRDefault="00B336BD" w:rsidP="00DA09E4">
      <w:r>
        <w:rPr>
          <w:b/>
        </w:rPr>
        <w:t>Etap 2</w:t>
      </w:r>
      <w:r>
        <w:t xml:space="preserve"> – jeżeli Komisja nie otrzyma żadnych uwag lub pomimo otrzymania takich uwag podejmie decyzję</w:t>
      </w:r>
      <w:r w:rsidR="00C24B90">
        <w:t xml:space="preserve"> o kon</w:t>
      </w:r>
      <w:r>
        <w:t>tynuowaniu procedury, musi przekazać koordynatorowi formalne zawiadomienie,</w:t>
      </w:r>
      <w:r w:rsidR="00C24B90">
        <w:t xml:space="preserve"> w któ</w:t>
      </w:r>
      <w:r>
        <w:t>rym poinformuje go o:</w:t>
      </w:r>
    </w:p>
    <w:p w14:paraId="48599D9C" w14:textId="77777777" w:rsidR="0031162A" w:rsidRPr="00345713" w:rsidRDefault="0031162A" w:rsidP="003A2A37">
      <w:pPr>
        <w:numPr>
          <w:ilvl w:val="0"/>
          <w:numId w:val="54"/>
        </w:numPr>
      </w:pPr>
      <w:r>
        <w:t>zawieszeniu płatności;</w:t>
      </w:r>
    </w:p>
    <w:p w14:paraId="31004B01" w14:textId="77777777" w:rsidR="0031162A" w:rsidRPr="00345713" w:rsidRDefault="0031162A" w:rsidP="003A2A37">
      <w:pPr>
        <w:numPr>
          <w:ilvl w:val="0"/>
          <w:numId w:val="54"/>
        </w:numPr>
      </w:pPr>
      <w:r>
        <w:t>przyczynach zawieszenia;</w:t>
      </w:r>
    </w:p>
    <w:p w14:paraId="734A3D54" w14:textId="77777777" w:rsidR="0031162A" w:rsidRPr="00345713" w:rsidRDefault="00EB1C76" w:rsidP="003A2A37">
      <w:pPr>
        <w:numPr>
          <w:ilvl w:val="0"/>
          <w:numId w:val="54"/>
        </w:numPr>
      </w:pPr>
      <w:r>
        <w:t>ostatecznych warunkach, które muszą zostać spełnione, aby płatności mogły zostać wznowione</w:t>
      </w:r>
      <w:r w:rsidR="00C24B90">
        <w:t xml:space="preserve"> w prz</w:t>
      </w:r>
      <w:r>
        <w:t>ypadkach,</w:t>
      </w:r>
      <w:r w:rsidR="00C24B90">
        <w:t xml:space="preserve"> o któ</w:t>
      </w:r>
      <w:r>
        <w:t>rych mowa</w:t>
      </w:r>
      <w:r w:rsidR="00C24B90">
        <w:t xml:space="preserve"> w art</w:t>
      </w:r>
      <w:r>
        <w:t xml:space="preserve">. II.24.1.1 </w:t>
      </w:r>
      <w:r w:rsidRPr="00C24B90">
        <w:t>lit.</w:t>
      </w:r>
      <w:r w:rsidR="00C24B90" w:rsidRPr="00C24B90">
        <w:t> </w:t>
      </w:r>
      <w:r w:rsidRPr="00C24B90">
        <w:t>a)</w:t>
      </w:r>
      <w:r>
        <w:t xml:space="preserve"> i b);</w:t>
      </w:r>
    </w:p>
    <w:p w14:paraId="021FA2CD" w14:textId="77777777" w:rsidR="0031162A" w:rsidRPr="00345713" w:rsidRDefault="00EB1C76" w:rsidP="003A2A37">
      <w:pPr>
        <w:numPr>
          <w:ilvl w:val="0"/>
          <w:numId w:val="54"/>
        </w:numPr>
      </w:pPr>
      <w:r>
        <w:t>przybliżonym terminie zakończenia koniecznej weryfikacji</w:t>
      </w:r>
      <w:r w:rsidR="00C24B90">
        <w:rPr>
          <w:rStyle w:val="Odwoaniedokomentarza"/>
        </w:rPr>
        <w:t xml:space="preserve"> </w:t>
      </w:r>
      <w:r w:rsidR="00C24B90">
        <w:t>w</w:t>
      </w:r>
      <w:r w:rsidR="00C24B90">
        <w:rPr>
          <w:rStyle w:val="Odwoaniedokomentarza"/>
        </w:rPr>
        <w:t> </w:t>
      </w:r>
      <w:r w:rsidR="00C24B90">
        <w:t>prz</w:t>
      </w:r>
      <w:r>
        <w:t>ypadku,</w:t>
      </w:r>
      <w:r w:rsidR="00C24B90">
        <w:t xml:space="preserve"> o któ</w:t>
      </w:r>
      <w:r>
        <w:t>rym mowa</w:t>
      </w:r>
      <w:r w:rsidR="00C24B90">
        <w:t xml:space="preserve"> w art</w:t>
      </w:r>
      <w:r>
        <w:t xml:space="preserve">. II.24.1.1 </w:t>
      </w:r>
      <w:r w:rsidRPr="00C24B90">
        <w:t>lit.</w:t>
      </w:r>
      <w:r w:rsidR="00C24B90" w:rsidRPr="00C24B90">
        <w:t> </w:t>
      </w:r>
      <w:r w:rsidRPr="00C24B90">
        <w:t>c)</w:t>
      </w:r>
      <w:r>
        <w:t>.</w:t>
      </w:r>
    </w:p>
    <w:p w14:paraId="12B53983" w14:textId="77777777" w:rsidR="009A2A93" w:rsidRPr="00345713" w:rsidRDefault="00710E25" w:rsidP="00AE4F1A">
      <w:pPr>
        <w:ind w:left="426"/>
        <w:rPr>
          <w:szCs w:val="24"/>
        </w:rPr>
      </w:pPr>
      <w:r>
        <w:t>Koordynator ma obowiązek niezwłocznie powiadomić pozostałych beneficjentów</w:t>
      </w:r>
      <w:r w:rsidR="00C24B90">
        <w:t xml:space="preserve"> o zaw</w:t>
      </w:r>
      <w:r>
        <w:t>ieszeniu. Zawieszenie staje się skuteczne</w:t>
      </w:r>
      <w:r w:rsidR="00C24B90">
        <w:t xml:space="preserve"> w dni</w:t>
      </w:r>
      <w:r>
        <w:t>u przesłania przez Komisję formalnego zawiadomienia</w:t>
      </w:r>
      <w:r w:rsidR="00C24B90">
        <w:t xml:space="preserve"> o zaw</w:t>
      </w:r>
      <w:r>
        <w:t>ieszeniu (etap 2).</w:t>
      </w:r>
    </w:p>
    <w:p w14:paraId="4D6C226B" w14:textId="77777777" w:rsidR="00295FBB" w:rsidRPr="00345713" w:rsidRDefault="00295FBB" w:rsidP="00AE4F1A">
      <w:pPr>
        <w:rPr>
          <w:szCs w:val="24"/>
        </w:rPr>
      </w:pPr>
      <w:r>
        <w:t>W przeciwnym razie Komisja musi przekazać koordynatorowi formalne zawiadomienie,</w:t>
      </w:r>
      <w:r w:rsidR="00C24B90">
        <w:t xml:space="preserve"> w któ</w:t>
      </w:r>
      <w:r>
        <w:t>rym poinformuje go, że nie będzie kontynuowała procedury zawieszenia.</w:t>
      </w:r>
    </w:p>
    <w:p w14:paraId="48714CD2" w14:textId="77777777" w:rsidR="003F3917" w:rsidRPr="00345713" w:rsidRDefault="003F3917" w:rsidP="002740CE">
      <w:pPr>
        <w:pStyle w:val="Nagwek4"/>
      </w:pPr>
      <w:r>
        <w:t>II.24.1.3 Skutki zawieszenia</w:t>
      </w:r>
    </w:p>
    <w:p w14:paraId="3D9CE7FC" w14:textId="77777777" w:rsidR="00274B9E" w:rsidRPr="00345713" w:rsidRDefault="00171637" w:rsidP="00AE4F1A">
      <w:r>
        <w:t>W okresie zawieszenia płatności koordynator nie jest uprawniony do składania:</w:t>
      </w:r>
    </w:p>
    <w:p w14:paraId="477C8444" w14:textId="77777777" w:rsidR="00274B9E" w:rsidRPr="00345713" w:rsidRDefault="00171637" w:rsidP="003A2A37">
      <w:pPr>
        <w:numPr>
          <w:ilvl w:val="0"/>
          <w:numId w:val="55"/>
        </w:numPr>
      </w:pPr>
      <w:r>
        <w:t>jakichkolwiek wniosków</w:t>
      </w:r>
      <w:r w:rsidR="00C24B90">
        <w:t xml:space="preserve"> o pła</w:t>
      </w:r>
      <w:r>
        <w:t>tność</w:t>
      </w:r>
      <w:r w:rsidR="00C24B90">
        <w:t xml:space="preserve"> i dok</w:t>
      </w:r>
      <w:r>
        <w:t>umentów potwierdzających,</w:t>
      </w:r>
      <w:r w:rsidR="00C24B90">
        <w:t xml:space="preserve"> o któ</w:t>
      </w:r>
      <w:r>
        <w:t>rych mowa</w:t>
      </w:r>
      <w:r w:rsidR="00C24B90">
        <w:t xml:space="preserve"> w art</w:t>
      </w:r>
      <w:r>
        <w:t>. I.4.2, I.4.3 i I.4.4; lub</w:t>
      </w:r>
    </w:p>
    <w:p w14:paraId="0EEAF6C1" w14:textId="77777777" w:rsidR="00274B9E" w:rsidRPr="00345713" w:rsidRDefault="00862F2B" w:rsidP="003A2A37">
      <w:pPr>
        <w:numPr>
          <w:ilvl w:val="0"/>
          <w:numId w:val="55"/>
        </w:numPr>
      </w:pPr>
      <w:r>
        <w:t>w przypadku gdy zawieszenie dotyczy wyłącznie płatności zaliczkowych lub płatności okresowych na rzecz jednego beneficjenta lub kilku beneficjentów, jakichkolwiek wniosków</w:t>
      </w:r>
      <w:r w:rsidR="00C24B90">
        <w:t xml:space="preserve"> o pła</w:t>
      </w:r>
      <w:r>
        <w:t>tność</w:t>
      </w:r>
      <w:r w:rsidR="00C24B90">
        <w:t xml:space="preserve"> i dok</w:t>
      </w:r>
      <w:r>
        <w:t>umentów potwierdzających związanych</w:t>
      </w:r>
      <w:r w:rsidR="00C24B90">
        <w:t xml:space="preserve"> z udz</w:t>
      </w:r>
      <w:r>
        <w:t>iałem tego beneficjenta lub tych beneficjentów</w:t>
      </w:r>
      <w:r w:rsidR="00C24B90">
        <w:t xml:space="preserve"> w dzi</w:t>
      </w:r>
      <w:r>
        <w:t>ałaniu.</w:t>
      </w:r>
    </w:p>
    <w:p w14:paraId="6708F99E" w14:textId="77777777" w:rsidR="00DA4395" w:rsidRPr="00345713" w:rsidRDefault="00171637" w:rsidP="00AE4F1A">
      <w:r>
        <w:t>Stosowne wnioski</w:t>
      </w:r>
      <w:r w:rsidR="00C24B90">
        <w:t xml:space="preserve"> o pła</w:t>
      </w:r>
      <w:r>
        <w:t>tności</w:t>
      </w:r>
      <w:r w:rsidR="00C24B90">
        <w:t xml:space="preserve"> i dok</w:t>
      </w:r>
      <w:r>
        <w:t>umenty potwierdzające można złożyć natychmiast po wznowieniu płatności lub można załączyć je do pierwszego wniosku</w:t>
      </w:r>
      <w:r w:rsidR="00C24B90">
        <w:t xml:space="preserve"> o pła</w:t>
      </w:r>
      <w:r>
        <w:t>tność należną po wznowieniu płatności zgodnie</w:t>
      </w:r>
      <w:r w:rsidR="00C24B90">
        <w:t xml:space="preserve"> z har</w:t>
      </w:r>
      <w:r>
        <w:t>monogramem przedstawionym</w:t>
      </w:r>
      <w:r w:rsidR="00C24B90">
        <w:t xml:space="preserve"> w art</w:t>
      </w:r>
      <w:r>
        <w:t>. I.4.1.</w:t>
      </w:r>
    </w:p>
    <w:p w14:paraId="5E5D0261" w14:textId="77777777" w:rsidR="0033066C" w:rsidRPr="00345713" w:rsidRDefault="00DA4395" w:rsidP="00AE4F1A">
      <w:r>
        <w:t>Decyzja</w:t>
      </w:r>
      <w:r w:rsidR="00C24B90">
        <w:t xml:space="preserve"> o zaw</w:t>
      </w:r>
      <w:r>
        <w:t xml:space="preserve">ieszeniu płatności pozostaje bez wpływu na prawo koordynatora do zawieszenia realizacji </w:t>
      </w:r>
      <w:r w:rsidRPr="004D20C0">
        <w:t>działania</w:t>
      </w:r>
      <w:r>
        <w:t xml:space="preserve"> zgodnie</w:t>
      </w:r>
      <w:r w:rsidR="00C24B90">
        <w:t xml:space="preserve"> z art</w:t>
      </w:r>
      <w:r>
        <w:t>. II.16.1 ani na prawo koordynatora do wypowiedzenia Umowy lub udziału beneficjenta</w:t>
      </w:r>
      <w:r w:rsidR="00C24B90">
        <w:t xml:space="preserve"> w dzi</w:t>
      </w:r>
      <w:r>
        <w:t>ałaniu zgodnie</w:t>
      </w:r>
      <w:r w:rsidR="00C24B90">
        <w:t xml:space="preserve"> z art</w:t>
      </w:r>
      <w:r>
        <w:t>. II.17.1 i II.17.2.</w:t>
      </w:r>
    </w:p>
    <w:p w14:paraId="3131373A" w14:textId="77777777" w:rsidR="00EF0ED6" w:rsidRPr="00345713" w:rsidRDefault="00EF0ED6" w:rsidP="002740CE">
      <w:pPr>
        <w:pStyle w:val="Nagwek4"/>
      </w:pPr>
      <w:r>
        <w:t>II.24.1.4 Wznowienie płatności</w:t>
      </w:r>
    </w:p>
    <w:p w14:paraId="48208CCD" w14:textId="77777777" w:rsidR="00EF0ED6" w:rsidRPr="00345713" w:rsidRDefault="00EF0ED6" w:rsidP="002740CE">
      <w:r>
        <w:lastRenderedPageBreak/>
        <w:t>Aby Komisja mogła wznowić płatności, beneficjenci muszą jak najszybciej spełnić postawione im warunki</w:t>
      </w:r>
      <w:r w:rsidR="00C24B90">
        <w:t xml:space="preserve"> i mus</w:t>
      </w:r>
      <w:r>
        <w:t>zą informować Komisję</w:t>
      </w:r>
      <w:r w:rsidR="00C24B90">
        <w:t xml:space="preserve"> o pos</w:t>
      </w:r>
      <w:r>
        <w:t>tępach</w:t>
      </w:r>
      <w:r w:rsidR="00C24B90">
        <w:t xml:space="preserve"> w tym</w:t>
      </w:r>
      <w:r>
        <w:t xml:space="preserve"> zakresie.</w:t>
      </w:r>
    </w:p>
    <w:p w14:paraId="23C6816C" w14:textId="77777777" w:rsidR="00EF0ED6" w:rsidRPr="00345713" w:rsidRDefault="00EF0ED6" w:rsidP="002740CE">
      <w:r>
        <w:t>Po spełnieniu warunków wznowienia płatności zawieszenie zostanie zniesione. Komisja przekaże koordynatorowi formalne zawiadomienie</w:t>
      </w:r>
      <w:r w:rsidR="00C24B90">
        <w:t xml:space="preserve"> w tym</w:t>
      </w:r>
      <w:r>
        <w:t xml:space="preserve"> zakresie.</w:t>
      </w:r>
    </w:p>
    <w:p w14:paraId="115FC3C2" w14:textId="77777777" w:rsidR="00B43219" w:rsidRPr="00345713" w:rsidRDefault="00B43219" w:rsidP="002740CE">
      <w:pPr>
        <w:pStyle w:val="Nagwek3"/>
      </w:pPr>
      <w:bookmarkStart w:id="174" w:name="_Toc441250871"/>
      <w:bookmarkStart w:id="175" w:name="_Toc530496965"/>
      <w:bookmarkStart w:id="176" w:name="_Toc30764066"/>
      <w:r>
        <w:t>II.24.2 Zawieszenie biegu terminu płatności</w:t>
      </w:r>
      <w:bookmarkEnd w:id="174"/>
      <w:bookmarkEnd w:id="175"/>
      <w:bookmarkEnd w:id="176"/>
    </w:p>
    <w:p w14:paraId="21E5B3CF" w14:textId="77777777" w:rsidR="00B43219" w:rsidRPr="00345713" w:rsidRDefault="00021F41" w:rsidP="001134CC">
      <w:pPr>
        <w:spacing w:after="0"/>
        <w:ind w:left="960" w:hanging="960"/>
        <w:rPr>
          <w:szCs w:val="24"/>
        </w:rPr>
      </w:pPr>
      <w:r>
        <w:rPr>
          <w:b/>
        </w:rPr>
        <w:t>II.24.2.1</w:t>
      </w:r>
      <w:r>
        <w:t xml:space="preserve"> Komisja może</w:t>
      </w:r>
      <w:r w:rsidR="00C24B90">
        <w:t xml:space="preserve"> w dow</w:t>
      </w:r>
      <w:r>
        <w:t>olnym momencie zawiesić bieg terminu płatności wyznaczonego</w:t>
      </w:r>
      <w:r w:rsidR="00C24B90">
        <w:t xml:space="preserve"> w art</w:t>
      </w:r>
      <w:r>
        <w:t>. I.</w:t>
      </w:r>
      <w:r w:rsidR="00496B83">
        <w:t>4</w:t>
      </w:r>
      <w:r>
        <w:t>.2, I.</w:t>
      </w:r>
      <w:r w:rsidR="00496B83">
        <w:t>4</w:t>
      </w:r>
      <w:r>
        <w:t>.3 i I..4</w:t>
      </w:r>
      <w:r w:rsidR="00496B83">
        <w:t>.5</w:t>
      </w:r>
      <w:r>
        <w:t>, jeżeli wniosek</w:t>
      </w:r>
      <w:r w:rsidR="00C24B90">
        <w:t xml:space="preserve"> o pła</w:t>
      </w:r>
      <w:r>
        <w:t>tność nie może zostać zatwierdzony, ponieważ:</w:t>
      </w:r>
    </w:p>
    <w:p w14:paraId="042FC6DF" w14:textId="77777777" w:rsidR="00B43219" w:rsidRPr="00345713" w:rsidRDefault="00B43219" w:rsidP="003A2A37">
      <w:pPr>
        <w:numPr>
          <w:ilvl w:val="0"/>
          <w:numId w:val="56"/>
        </w:numPr>
      </w:pPr>
      <w:r>
        <w:t>jest niezgodny</w:t>
      </w:r>
      <w:r w:rsidR="00C24B90">
        <w:t xml:space="preserve"> z pos</w:t>
      </w:r>
      <w:r>
        <w:t>tanowieniami Umowy;</w:t>
      </w:r>
    </w:p>
    <w:p w14:paraId="37ED151B" w14:textId="77777777" w:rsidR="00B43219" w:rsidRPr="00345713" w:rsidRDefault="00B43219" w:rsidP="003A2A37">
      <w:pPr>
        <w:numPr>
          <w:ilvl w:val="0"/>
          <w:numId w:val="56"/>
        </w:numPr>
      </w:pPr>
      <w:r>
        <w:t>nie przedstawiono odpowiednich dokumentów potwierdzających; lub</w:t>
      </w:r>
    </w:p>
    <w:p w14:paraId="1D4F7A36" w14:textId="77777777" w:rsidR="00B43219" w:rsidRPr="00345713" w:rsidRDefault="00B43219" w:rsidP="003A2A37">
      <w:pPr>
        <w:numPr>
          <w:ilvl w:val="0"/>
          <w:numId w:val="56"/>
        </w:numPr>
      </w:pPr>
      <w:r>
        <w:t>pojawiły się wątpliwości co do kwalifikowalności kosztów zadeklarowanych</w:t>
      </w:r>
      <w:r w:rsidR="00C24B90">
        <w:t xml:space="preserve"> w spr</w:t>
      </w:r>
      <w:r>
        <w:t>awozdaniach finansowych, wskutek czego zachodzi konieczność przeprowadzenia dodatkowych kontroli, przeglądów, audytów lub postępowań wyjaśniających.</w:t>
      </w:r>
    </w:p>
    <w:p w14:paraId="0D103573" w14:textId="77777777" w:rsidR="00B43219" w:rsidRPr="00345713" w:rsidRDefault="00021F41" w:rsidP="00B43219">
      <w:pPr>
        <w:rPr>
          <w:szCs w:val="24"/>
        </w:rPr>
      </w:pPr>
      <w:r>
        <w:rPr>
          <w:b/>
        </w:rPr>
        <w:t>II.24.2.2</w:t>
      </w:r>
      <w:r>
        <w:t xml:space="preserve"> Komisja musi przekazać koordynatorowi formalne zawiadomienie,</w:t>
      </w:r>
      <w:r w:rsidR="00C24B90">
        <w:t xml:space="preserve"> w któ</w:t>
      </w:r>
      <w:r>
        <w:t>rym poinformuje go o:</w:t>
      </w:r>
    </w:p>
    <w:p w14:paraId="41DF295C" w14:textId="77777777" w:rsidR="00B43219" w:rsidRPr="00345713" w:rsidRDefault="00B43219" w:rsidP="003A2A37">
      <w:pPr>
        <w:numPr>
          <w:ilvl w:val="0"/>
          <w:numId w:val="57"/>
        </w:numPr>
      </w:pPr>
      <w:r>
        <w:t>zawieszeniu; oraz</w:t>
      </w:r>
    </w:p>
    <w:p w14:paraId="29428B2F" w14:textId="77777777" w:rsidR="00B43219" w:rsidRPr="00345713" w:rsidRDefault="00B43219" w:rsidP="003A2A37">
      <w:pPr>
        <w:numPr>
          <w:ilvl w:val="0"/>
          <w:numId w:val="57"/>
        </w:numPr>
      </w:pPr>
      <w:r>
        <w:t>przyczynach zawieszenia.</w:t>
      </w:r>
    </w:p>
    <w:p w14:paraId="78E25EF7" w14:textId="77777777" w:rsidR="00B43219" w:rsidRPr="00345713" w:rsidRDefault="00B43219" w:rsidP="00AE4F1A">
      <w:r>
        <w:t>Zawieszenie staje się skuteczne</w:t>
      </w:r>
      <w:r w:rsidR="00C24B90">
        <w:t xml:space="preserve"> w dni</w:t>
      </w:r>
      <w:r>
        <w:t>u przesłania przez Komisję formalnego zawiadomienia.</w:t>
      </w:r>
    </w:p>
    <w:p w14:paraId="1F622238" w14:textId="77777777" w:rsidR="00B43219" w:rsidRPr="00345713" w:rsidRDefault="00021F41" w:rsidP="00AE4F1A">
      <w:pPr>
        <w:ind w:left="960" w:hanging="960"/>
        <w:rPr>
          <w:szCs w:val="24"/>
        </w:rPr>
      </w:pPr>
      <w:r>
        <w:rPr>
          <w:b/>
        </w:rPr>
        <w:t>II.24.2.3</w:t>
      </w:r>
      <w:r>
        <w:t xml:space="preserve"> Jeżeli warunki uzasadniające zawieszenie terminu płatności nie będą już miały zastosowania, zawieszenie zostanie zniesione</w:t>
      </w:r>
      <w:r w:rsidR="00C24B90">
        <w:t xml:space="preserve"> i bie</w:t>
      </w:r>
      <w:r>
        <w:t>g terminu płatności zostaje wznowiony.</w:t>
      </w:r>
    </w:p>
    <w:p w14:paraId="12C774D2" w14:textId="77777777" w:rsidR="00B43219" w:rsidRPr="00345713" w:rsidRDefault="00B43219" w:rsidP="00AE4F1A">
      <w:r>
        <w:t>Jeżeli okres zawieszenia przekracza dwa miesiące, koordynator może zwrócić się do Komisji</w:t>
      </w:r>
      <w:r w:rsidR="00C24B90">
        <w:t xml:space="preserve"> z zap</w:t>
      </w:r>
      <w:r>
        <w:t>ytaniem, czy zawieszenie będzie kontynuowane.</w:t>
      </w:r>
    </w:p>
    <w:p w14:paraId="08D951CB" w14:textId="77777777" w:rsidR="00B43219" w:rsidRPr="00345713" w:rsidRDefault="00B43219" w:rsidP="00AE4F1A">
      <w:r>
        <w:t>Jeżeli bieg terminu płatności został zawieszony</w:t>
      </w:r>
      <w:r w:rsidR="00C24B90">
        <w:t xml:space="preserve"> z uwa</w:t>
      </w:r>
      <w:r>
        <w:t>gi na niezgodność raportów merytorycznych lub sprawozdań finansowych</w:t>
      </w:r>
      <w:r w:rsidR="00C24B90">
        <w:t xml:space="preserve"> z pos</w:t>
      </w:r>
      <w:r>
        <w:t>tanowieniami niniejszej Umowy,</w:t>
      </w:r>
      <w:r w:rsidR="00C24B90">
        <w:t xml:space="preserve"> a ben</w:t>
      </w:r>
      <w:r>
        <w:t>eficjent nie przekazał zmienionej wersji tych raportów lub sprawozdań lub przekazał takie zmienione wersje, ale zostały one odrzucone, Komisja może wypowiedzieć Umowę lub udział danego beneficjenta zgodnie</w:t>
      </w:r>
      <w:r w:rsidR="00C24B90">
        <w:t xml:space="preserve"> z art</w:t>
      </w:r>
      <w:r>
        <w:t xml:space="preserve">. II.17.3.1 </w:t>
      </w:r>
      <w:r w:rsidRPr="00C24B90">
        <w:t>lit.</w:t>
      </w:r>
      <w:r w:rsidR="00C24B90" w:rsidRPr="00C24B90">
        <w:t> </w:t>
      </w:r>
      <w:r w:rsidRPr="00C24B90">
        <w:t>c)</w:t>
      </w:r>
      <w:r>
        <w:t xml:space="preserve"> oraz zmniejszyć kwotę dotacji zgodnie</w:t>
      </w:r>
      <w:r w:rsidR="00C24B90">
        <w:t xml:space="preserve"> z art</w:t>
      </w:r>
      <w:r>
        <w:t>. II.25.4.</w:t>
      </w:r>
    </w:p>
    <w:p w14:paraId="14238063" w14:textId="77777777" w:rsidR="00171637" w:rsidRPr="00345713" w:rsidRDefault="000A4F91" w:rsidP="002740CE">
      <w:pPr>
        <w:pStyle w:val="Nagwek2"/>
      </w:pPr>
      <w:bookmarkStart w:id="177" w:name="_Toc441250872"/>
      <w:bookmarkStart w:id="178" w:name="_Toc530496966"/>
      <w:bookmarkStart w:id="179" w:name="_Toc30764067"/>
      <w:r>
        <w:t>Artykuł II.25 – Obliczanie ostatecznej kwoty dotacji</w:t>
      </w:r>
      <w:bookmarkEnd w:id="177"/>
      <w:bookmarkEnd w:id="178"/>
      <w:bookmarkEnd w:id="179"/>
    </w:p>
    <w:p w14:paraId="31010CD0" w14:textId="77777777" w:rsidR="0010237A" w:rsidRPr="00345713" w:rsidRDefault="0010237A" w:rsidP="00AE4F1A">
      <w:r>
        <w:t>Wysokość ostatecznej kwoty dotacji zależy od stopnia zgodności realizacji działania</w:t>
      </w:r>
      <w:r w:rsidR="00C24B90">
        <w:t xml:space="preserve"> z pos</w:t>
      </w:r>
      <w:r>
        <w:t>tanowieniami Umowy.</w:t>
      </w:r>
    </w:p>
    <w:p w14:paraId="10555FE8" w14:textId="77777777" w:rsidR="0010237A" w:rsidRPr="00345713" w:rsidRDefault="0010237A" w:rsidP="00AE4F1A">
      <w:pPr>
        <w:rPr>
          <w:bCs/>
        </w:rPr>
      </w:pPr>
      <w:r>
        <w:t>Komisja oblicza ostateczną kwotę dotacji przy dokonywaniu płatności salda. Procedura obliczania przebiega następująco:</w:t>
      </w:r>
    </w:p>
    <w:p w14:paraId="364D00AD" w14:textId="77777777" w:rsidR="0010237A" w:rsidRPr="00345713" w:rsidRDefault="0010237A" w:rsidP="00AE4F1A">
      <w:pPr>
        <w:ind w:left="567"/>
      </w:pPr>
      <w:r>
        <w:lastRenderedPageBreak/>
        <w:t>etap 1 – zastosowanie stawki zwrotu</w:t>
      </w:r>
      <w:r w:rsidR="00C24B90">
        <w:t xml:space="preserve"> w odn</w:t>
      </w:r>
      <w:r>
        <w:t>iesieniu do kosztów kwalifikowalnych</w:t>
      </w:r>
      <w:r w:rsidR="00C24B90">
        <w:t xml:space="preserve"> i pow</w:t>
      </w:r>
      <w:r>
        <w:t>iększenie otrzymanej kwoty</w:t>
      </w:r>
      <w:r w:rsidR="00C24B90">
        <w:t xml:space="preserve"> o fin</w:t>
      </w:r>
      <w:r>
        <w:t>ansowanie niepowiązane</w:t>
      </w:r>
      <w:r w:rsidR="00C24B90">
        <w:t xml:space="preserve"> z kos</w:t>
      </w:r>
      <w:r>
        <w:t>ztami, wkład jednostkowy, zryczałtowany</w:t>
      </w:r>
      <w:r w:rsidR="00C24B90">
        <w:t xml:space="preserve"> i ryc</w:t>
      </w:r>
      <w:r>
        <w:t>załtowy;</w:t>
      </w:r>
    </w:p>
    <w:p w14:paraId="431FCBEF" w14:textId="77777777" w:rsidR="0010237A" w:rsidRPr="00345713" w:rsidRDefault="0010237A" w:rsidP="00AE4F1A">
      <w:pPr>
        <w:ind w:left="567"/>
      </w:pPr>
      <w:r>
        <w:t>etap 2 – ograniczenie uzyskanej wartości do wysokości maksymalnej kwoty dotacji;</w:t>
      </w:r>
    </w:p>
    <w:p w14:paraId="35DF568F" w14:textId="77777777" w:rsidR="0010237A" w:rsidRPr="00345713" w:rsidRDefault="0010237A" w:rsidP="00AE4F1A">
      <w:pPr>
        <w:ind w:left="567"/>
      </w:pPr>
      <w:r>
        <w:t>etap 3 – zmniejszenie</w:t>
      </w:r>
      <w:r w:rsidR="00C24B90">
        <w:t xml:space="preserve"> z tyt</w:t>
      </w:r>
      <w:r>
        <w:t>ułu zasady niedochodowości;</w:t>
      </w:r>
    </w:p>
    <w:p w14:paraId="54087168" w14:textId="77777777" w:rsidR="0010237A" w:rsidRPr="00345713" w:rsidRDefault="0010237A" w:rsidP="00AE4F1A">
      <w:pPr>
        <w:ind w:left="567"/>
      </w:pPr>
      <w:r>
        <w:t>etap 4 – zmniejszenie</w:t>
      </w:r>
      <w:r w:rsidR="00C24B90">
        <w:t xml:space="preserve"> z tyt</w:t>
      </w:r>
      <w:r>
        <w:t>ułu nieprawidłowej realizacji działania lub naruszenia innych obowiązków.</w:t>
      </w:r>
    </w:p>
    <w:p w14:paraId="62F38B3B" w14:textId="77777777" w:rsidR="0010237A" w:rsidRPr="00345713" w:rsidRDefault="0010237A" w:rsidP="00BD35BC">
      <w:pPr>
        <w:pStyle w:val="Nagwek3"/>
        <w:ind w:left="993" w:hanging="993"/>
        <w:jc w:val="both"/>
      </w:pPr>
      <w:bookmarkStart w:id="180" w:name="_Toc441250873"/>
      <w:bookmarkStart w:id="181" w:name="_Toc530496967"/>
      <w:bookmarkStart w:id="182" w:name="_Toc30764068"/>
      <w:r>
        <w:t>II.25.1</w:t>
      </w:r>
      <w:r>
        <w:tab/>
        <w:t>Etap 1 – zastosowanie stawki zwrotu</w:t>
      </w:r>
      <w:r w:rsidR="00C24B90">
        <w:t xml:space="preserve"> w odn</w:t>
      </w:r>
      <w:r>
        <w:t>iesieniu do kosztów kwalifikowalnych</w:t>
      </w:r>
      <w:r w:rsidR="00C24B90">
        <w:t xml:space="preserve"> i pow</w:t>
      </w:r>
      <w:r>
        <w:t>iększenie otrzymanej kwoty</w:t>
      </w:r>
      <w:r w:rsidR="00C24B90">
        <w:t xml:space="preserve"> o fin</w:t>
      </w:r>
      <w:r>
        <w:t>ansowanie niepowiązane</w:t>
      </w:r>
      <w:r w:rsidR="00C24B90">
        <w:t xml:space="preserve"> z kos</w:t>
      </w:r>
      <w:r>
        <w:t>ztami, wkład jednostkowy, zryczałtowany</w:t>
      </w:r>
      <w:r w:rsidR="00C24B90">
        <w:t xml:space="preserve"> i ryc</w:t>
      </w:r>
      <w:r>
        <w:t>załtowy;</w:t>
      </w:r>
      <w:bookmarkEnd w:id="180"/>
      <w:bookmarkEnd w:id="181"/>
      <w:bookmarkEnd w:id="182"/>
    </w:p>
    <w:p w14:paraId="34313837" w14:textId="77777777" w:rsidR="00171637" w:rsidRPr="00345713" w:rsidRDefault="0010237A" w:rsidP="002740CE">
      <w:r>
        <w:t>Etap ten przeprowadza się</w:t>
      </w:r>
      <w:r w:rsidR="00C24B90">
        <w:t xml:space="preserve"> w nas</w:t>
      </w:r>
      <w:r>
        <w:t>tępujący sposób:</w:t>
      </w:r>
    </w:p>
    <w:p w14:paraId="5F467164" w14:textId="77777777" w:rsidR="006C1FDF" w:rsidRDefault="006C1FDF" w:rsidP="003A2A37">
      <w:pPr>
        <w:numPr>
          <w:ilvl w:val="0"/>
          <w:numId w:val="58"/>
        </w:numPr>
        <w:ind w:left="709" w:hanging="720"/>
      </w:pPr>
      <w:r>
        <w:t>jeżeli zgodnie</w:t>
      </w:r>
      <w:r w:rsidR="00C24B90">
        <w:t xml:space="preserve"> z art</w:t>
      </w:r>
      <w:r>
        <w:t xml:space="preserve">. I.3.2 </w:t>
      </w:r>
      <w:r w:rsidRPr="00C24B90">
        <w:t>lit.</w:t>
      </w:r>
      <w:r w:rsidR="00C24B90" w:rsidRPr="00C24B90">
        <w:t> </w:t>
      </w:r>
      <w:r w:rsidRPr="00C24B90">
        <w:t>a)</w:t>
      </w:r>
      <w:r>
        <w:t xml:space="preserve"> </w:t>
      </w:r>
      <w:proofErr w:type="spellStart"/>
      <w:r>
        <w:t>ppkt</w:t>
      </w:r>
      <w:proofErr w:type="spellEnd"/>
      <w:r>
        <w:t xml:space="preserve"> (i) dotacja przyjmuje formę zwrotu faktycznie poniesionych kosztów kwalifikowalnych, stosuje się stawkę zwrotu określoną</w:t>
      </w:r>
      <w:r w:rsidR="00C24B90">
        <w:t xml:space="preserve"> w tym</w:t>
      </w:r>
      <w:r>
        <w:t xml:space="preserve"> artykule</w:t>
      </w:r>
      <w:r w:rsidR="00C24B90">
        <w:t xml:space="preserve"> w odn</w:t>
      </w:r>
      <w:r>
        <w:t>iesieniu do tych kosztów kwalifikowalnych zatwierdzonych przez Komisję dla odpowiednich kategorii kosztów, beneficjentów</w:t>
      </w:r>
      <w:r w:rsidR="00C24B90">
        <w:t xml:space="preserve"> i pod</w:t>
      </w:r>
      <w:r>
        <w:t>miotów powiązanych;</w:t>
      </w:r>
    </w:p>
    <w:p w14:paraId="2C78FA3F" w14:textId="77777777" w:rsidR="00171637" w:rsidRDefault="0010237A" w:rsidP="003A2A37">
      <w:pPr>
        <w:numPr>
          <w:ilvl w:val="0"/>
          <w:numId w:val="58"/>
        </w:numPr>
        <w:ind w:left="709" w:hanging="720"/>
      </w:pPr>
      <w:r>
        <w:t>jeżeli zgodnie</w:t>
      </w:r>
      <w:r w:rsidR="00C24B90">
        <w:t xml:space="preserve"> z art</w:t>
      </w:r>
      <w:r>
        <w:t xml:space="preserve">. I.3.2 </w:t>
      </w:r>
      <w:r w:rsidRPr="00C24B90">
        <w:t>lit.</w:t>
      </w:r>
      <w:r w:rsidR="00C24B90" w:rsidRPr="00C24B90">
        <w:t> </w:t>
      </w:r>
      <w:r w:rsidRPr="00C24B90">
        <w:t>a)</w:t>
      </w:r>
      <w:r>
        <w:t xml:space="preserve"> </w:t>
      </w:r>
      <w:proofErr w:type="spellStart"/>
      <w:r>
        <w:t>ppkt</w:t>
      </w:r>
      <w:proofErr w:type="spellEnd"/>
      <w:r>
        <w:t xml:space="preserve"> (ii)-(v) dotacja przyjmuje formę zwrotu kwalifikowalnych kosztów jednostkowych, ryczałtowych lub zryczałtowanych, stosuje się stawkę zwrotu określoną</w:t>
      </w:r>
      <w:r w:rsidR="00C24B90">
        <w:t xml:space="preserve"> w tym</w:t>
      </w:r>
      <w:r>
        <w:t xml:space="preserve"> artykule</w:t>
      </w:r>
      <w:r w:rsidR="00C24B90">
        <w:t xml:space="preserve"> w odn</w:t>
      </w:r>
      <w:r>
        <w:t>iesieniu do tych kosztów kwalifikowalnych zatwierdzonych przez Komisję dla odpowiednich kategorii kosztów, beneficjentów</w:t>
      </w:r>
      <w:r w:rsidR="00C24B90">
        <w:t xml:space="preserve"> i pod</w:t>
      </w:r>
      <w:r>
        <w:t>miotów powiązanych;</w:t>
      </w:r>
    </w:p>
    <w:p w14:paraId="38251276" w14:textId="77777777" w:rsidR="006D2C5F" w:rsidRDefault="006D2C5F" w:rsidP="006D2C5F">
      <w:pPr>
        <w:ind w:left="720"/>
      </w:pPr>
      <w:r>
        <w:t>Kwota dotycząca pracy wolontariuszy zadeklarowana jako bezpośrednie koszty kwalifikowalne dla odpowiednich beneficjentów</w:t>
      </w:r>
      <w:r w:rsidR="00C24B90">
        <w:t xml:space="preserve"> i pod</w:t>
      </w:r>
      <w:r>
        <w:t>miotów powiązanych musi być ograniczona do niższej</w:t>
      </w:r>
      <w:r w:rsidR="00C24B90">
        <w:t xml:space="preserve"> z nas</w:t>
      </w:r>
      <w:r>
        <w:t>tępujących kwot:</w:t>
      </w:r>
    </w:p>
    <w:p w14:paraId="01420EF7" w14:textId="77777777" w:rsidR="006D2C5F" w:rsidRDefault="00EC6E67" w:rsidP="00EC6E67">
      <w:pPr>
        <w:ind w:left="1276" w:hanging="556"/>
      </w:pPr>
      <w:r>
        <w:t>(i)</w:t>
      </w:r>
      <w:r>
        <w:tab/>
        <w:t>sumy wszystkich źródeł finansowania wskazanych</w:t>
      </w:r>
      <w:r w:rsidR="00C24B90">
        <w:t xml:space="preserve"> w koń</w:t>
      </w:r>
      <w:r>
        <w:t>cowym sprawozdaniu finansowym</w:t>
      </w:r>
      <w:r w:rsidR="00C24B90">
        <w:t xml:space="preserve"> i zat</w:t>
      </w:r>
      <w:r>
        <w:t>wierdzonych przez Komisję, pomnożonej przez pięćdziesiąt procent; lub</w:t>
      </w:r>
    </w:p>
    <w:p w14:paraId="5E44C1E4" w14:textId="77777777" w:rsidR="00CB0C4F" w:rsidRDefault="006D2C5F" w:rsidP="00BD35BC">
      <w:pPr>
        <w:ind w:left="1276" w:hanging="556"/>
      </w:pPr>
      <w:r>
        <w:t>(ii)</w:t>
      </w:r>
      <w:r>
        <w:tab/>
        <w:t>kwoty dotyczącej pracy wolontariuszy wskazanej</w:t>
      </w:r>
      <w:r w:rsidR="00C24B90">
        <w:t xml:space="preserve"> w sza</w:t>
      </w:r>
      <w:r>
        <w:t>cowanym budżecie określonym</w:t>
      </w:r>
      <w:r w:rsidR="00C24B90">
        <w:t xml:space="preserve"> w zał</w:t>
      </w:r>
      <w:r>
        <w:t>ączniku II;</w:t>
      </w:r>
    </w:p>
    <w:p w14:paraId="0ECF2F75" w14:textId="77777777" w:rsidR="00171637" w:rsidRPr="00C6117F" w:rsidRDefault="0010237A" w:rsidP="003A2A37">
      <w:pPr>
        <w:numPr>
          <w:ilvl w:val="0"/>
          <w:numId w:val="58"/>
        </w:numPr>
        <w:spacing w:after="240" w:afterAutospacing="0"/>
        <w:ind w:left="709" w:hanging="720"/>
      </w:pPr>
      <w:r>
        <w:t>jeżeli zgodnie</w:t>
      </w:r>
      <w:r w:rsidR="00C24B90">
        <w:t xml:space="preserve"> z art</w:t>
      </w:r>
      <w:r>
        <w:t xml:space="preserve">. I.3.2 </w:t>
      </w:r>
      <w:r w:rsidRPr="00C24B90">
        <w:t>lit.</w:t>
      </w:r>
      <w:r w:rsidR="00C24B90" w:rsidRPr="00C24B90">
        <w:t> </w:t>
      </w:r>
      <w:r w:rsidRPr="00C24B90">
        <w:t>b)</w:t>
      </w:r>
      <w:r>
        <w:t xml:space="preserve"> dotacja przyjmuje formę wkładu jednostkowego, wkład jednostkowy określony</w:t>
      </w:r>
      <w:r w:rsidR="00C24B90">
        <w:t xml:space="preserve"> w tym</w:t>
      </w:r>
      <w:r>
        <w:t xml:space="preserve"> artykule mnoży się przez faktyczną liczbę jednostek zatwierdzonych przez Komisję dla odpowiednich beneficjentów</w:t>
      </w:r>
      <w:r w:rsidR="00C24B90">
        <w:t xml:space="preserve"> i pod</w:t>
      </w:r>
      <w:r>
        <w:t>miotów powiązanych;</w:t>
      </w:r>
    </w:p>
    <w:p w14:paraId="3D5C6276" w14:textId="77777777" w:rsidR="00171637" w:rsidRPr="00E83BE4" w:rsidRDefault="0010237A" w:rsidP="003A2A37">
      <w:pPr>
        <w:numPr>
          <w:ilvl w:val="0"/>
          <w:numId w:val="58"/>
        </w:numPr>
        <w:spacing w:after="240" w:afterAutospacing="0"/>
        <w:ind w:left="709" w:hanging="720"/>
      </w:pPr>
      <w:r>
        <w:t>jeżeli zgodnie</w:t>
      </w:r>
      <w:r w:rsidR="00C24B90">
        <w:t xml:space="preserve"> z art</w:t>
      </w:r>
      <w:r>
        <w:t xml:space="preserve">. I.3.2 </w:t>
      </w:r>
      <w:r w:rsidRPr="00C24B90">
        <w:t>lit.</w:t>
      </w:r>
      <w:r w:rsidR="00C24B90" w:rsidRPr="00C24B90">
        <w:t> </w:t>
      </w:r>
      <w:r w:rsidRPr="00C24B90">
        <w:t>c)</w:t>
      </w:r>
      <w:r>
        <w:t xml:space="preserve"> dotacja przyjmuje formę wkładu ryczałtowego, Komisja stosuje kwotę ryczałtową określoną</w:t>
      </w:r>
      <w:r w:rsidR="00C24B90">
        <w:t xml:space="preserve"> w tym</w:t>
      </w:r>
      <w:r>
        <w:t xml:space="preserve"> artykule</w:t>
      </w:r>
      <w:r w:rsidR="00C24B90">
        <w:t xml:space="preserve"> w odn</w:t>
      </w:r>
      <w:r>
        <w:t>iesieniu do odpowiednich beneficjentów</w:t>
      </w:r>
      <w:r w:rsidR="00C24B90">
        <w:t xml:space="preserve"> i pod</w:t>
      </w:r>
      <w:r>
        <w:t>miotów powiązanych,</w:t>
      </w:r>
      <w:r w:rsidR="00C24B90">
        <w:t xml:space="preserve"> o ile</w:t>
      </w:r>
      <w:r>
        <w:t xml:space="preserve"> uzna, że dane zadania lub część działania wykonano należycie zgodnie</w:t>
      </w:r>
      <w:r w:rsidR="00C24B90">
        <w:t xml:space="preserve"> z zał</w:t>
      </w:r>
      <w:r>
        <w:t>ącznikiem I;</w:t>
      </w:r>
    </w:p>
    <w:p w14:paraId="1C3A233C" w14:textId="77777777" w:rsidR="00171637" w:rsidRPr="00345713" w:rsidRDefault="0010237A" w:rsidP="003A2A37">
      <w:pPr>
        <w:numPr>
          <w:ilvl w:val="0"/>
          <w:numId w:val="58"/>
        </w:numPr>
        <w:spacing w:after="240" w:afterAutospacing="0"/>
        <w:ind w:left="709" w:hanging="720"/>
      </w:pPr>
      <w:r>
        <w:t>jeżeli zgodnie</w:t>
      </w:r>
      <w:r w:rsidR="00C24B90">
        <w:t xml:space="preserve"> z art</w:t>
      </w:r>
      <w:r>
        <w:t xml:space="preserve">. I.3.2 </w:t>
      </w:r>
      <w:r w:rsidRPr="00C24B90">
        <w:t>lit.</w:t>
      </w:r>
      <w:r w:rsidR="00C24B90" w:rsidRPr="00C24B90">
        <w:t> </w:t>
      </w:r>
      <w:r w:rsidRPr="00C24B90">
        <w:t>d)</w:t>
      </w:r>
      <w:r>
        <w:t xml:space="preserve"> dotacja przyjmuje formę wkładu zryczałtowanego, stosuje się stawkę zryczałtowaną określoną</w:t>
      </w:r>
      <w:r w:rsidR="00C24B90">
        <w:t xml:space="preserve"> w tym</w:t>
      </w:r>
      <w:r>
        <w:t xml:space="preserve"> artykule</w:t>
      </w:r>
      <w:r w:rsidR="00C24B90">
        <w:t xml:space="preserve"> w odn</w:t>
      </w:r>
      <w:r>
        <w:t xml:space="preserve">iesieniu do kosztów </w:t>
      </w:r>
      <w:r>
        <w:lastRenderedPageBreak/>
        <w:t>kwalifikowalnych lub do wkładu zatwierdzonego przez Komisję</w:t>
      </w:r>
      <w:r w:rsidR="00C24B90">
        <w:t xml:space="preserve"> w odn</w:t>
      </w:r>
      <w:r>
        <w:t>iesieniu do odpowiednich beneficjentów</w:t>
      </w:r>
      <w:r w:rsidR="00C24B90">
        <w:t xml:space="preserve"> i pod</w:t>
      </w:r>
      <w:r>
        <w:t>miotów powiązanych;</w:t>
      </w:r>
    </w:p>
    <w:p w14:paraId="7D666A84" w14:textId="77777777" w:rsidR="00734ADF" w:rsidRPr="00240163" w:rsidRDefault="00734ADF" w:rsidP="003A2A37">
      <w:pPr>
        <w:numPr>
          <w:ilvl w:val="0"/>
          <w:numId w:val="58"/>
        </w:numPr>
        <w:ind w:left="709" w:hanging="720"/>
      </w:pPr>
      <w:r>
        <w:t>jeżeli zgodnie</w:t>
      </w:r>
      <w:r w:rsidR="00C24B90">
        <w:t xml:space="preserve"> z art</w:t>
      </w:r>
      <w:r>
        <w:t xml:space="preserve">. I.3.2 </w:t>
      </w:r>
      <w:r w:rsidRPr="00C24B90">
        <w:t>lit.</w:t>
      </w:r>
      <w:r w:rsidR="00C24B90" w:rsidRPr="00C24B90">
        <w:t> </w:t>
      </w:r>
      <w:r w:rsidRPr="00C24B90">
        <w:t>e)</w:t>
      </w:r>
      <w:r>
        <w:t xml:space="preserve"> dotacja przyjmuje formę finansowania niepowiązanego</w:t>
      </w:r>
      <w:r w:rsidR="00C24B90">
        <w:t xml:space="preserve"> z kos</w:t>
      </w:r>
      <w:r>
        <w:t>ztami, Komisja stosuje kwotę określoną</w:t>
      </w:r>
      <w:r w:rsidR="00C24B90">
        <w:t xml:space="preserve"> w tym</w:t>
      </w:r>
      <w:r>
        <w:t xml:space="preserve"> artykule</w:t>
      </w:r>
      <w:r w:rsidR="00C24B90">
        <w:t xml:space="preserve"> w odn</w:t>
      </w:r>
      <w:r>
        <w:t>iesieniu do odpowiednich beneficjentów</w:t>
      </w:r>
      <w:r w:rsidR="00C24B90">
        <w:t xml:space="preserve"> i pod</w:t>
      </w:r>
      <w:r>
        <w:t>miotów powiązanych,</w:t>
      </w:r>
      <w:r w:rsidR="00C24B90">
        <w:t xml:space="preserve"> o ile</w:t>
      </w:r>
      <w:r>
        <w:t xml:space="preserve"> uzna, że [spełniono warunki określone</w:t>
      </w:r>
      <w:r w:rsidR="00C24B90">
        <w:t xml:space="preserve"> w zał</w:t>
      </w:r>
      <w:r>
        <w:t>ączniku I][oraz][osiągnięto rezultaty określone</w:t>
      </w:r>
      <w:r w:rsidR="00C24B90">
        <w:t xml:space="preserve"> w zał</w:t>
      </w:r>
      <w:r>
        <w:t>ączniku I].</w:t>
      </w:r>
    </w:p>
    <w:p w14:paraId="5D115338" w14:textId="77777777" w:rsidR="00E34B40" w:rsidRPr="00345713" w:rsidRDefault="0010237A" w:rsidP="002740CE">
      <w:r>
        <w:t>Jeżeli</w:t>
      </w:r>
      <w:r w:rsidR="00C24B90">
        <w:t xml:space="preserve"> w art</w:t>
      </w:r>
      <w:r>
        <w:t>. I.3.2 przewiduje się połączenie różnych form dotacji, otrzymane kwoty muszą zostać zsumowane.</w:t>
      </w:r>
    </w:p>
    <w:p w14:paraId="7CB2828D" w14:textId="77777777" w:rsidR="00171637" w:rsidRPr="00345713" w:rsidRDefault="00171637" w:rsidP="00BD35BC">
      <w:pPr>
        <w:pStyle w:val="Nagwek3"/>
        <w:ind w:left="993" w:hanging="993"/>
        <w:jc w:val="both"/>
      </w:pPr>
      <w:bookmarkStart w:id="183" w:name="_Toc441250874"/>
      <w:bookmarkStart w:id="184" w:name="_Toc530496968"/>
      <w:bookmarkStart w:id="185" w:name="_Toc30764069"/>
      <w:r>
        <w:t>II.25.2</w:t>
      </w:r>
      <w:r>
        <w:tab/>
        <w:t>Etap 2 – ograniczenie uzyskanej wartości do wysokości maksymalnej kwoty dotacji</w:t>
      </w:r>
      <w:bookmarkEnd w:id="183"/>
      <w:bookmarkEnd w:id="184"/>
      <w:bookmarkEnd w:id="185"/>
    </w:p>
    <w:p w14:paraId="67475B0C" w14:textId="77777777" w:rsidR="00171637" w:rsidRPr="00345713" w:rsidRDefault="00171637" w:rsidP="00AE4F1A">
      <w:r>
        <w:t>Łączna kwota wypłacona beneficjentom przez Komisję nie może</w:t>
      </w:r>
      <w:r w:rsidR="00C24B90">
        <w:t xml:space="preserve"> w żad</w:t>
      </w:r>
      <w:r>
        <w:t>nym wypadku przekraczać maksymalnej kwoty dotacji.</w:t>
      </w:r>
    </w:p>
    <w:p w14:paraId="377CD711" w14:textId="77777777" w:rsidR="006132E7" w:rsidRDefault="0010237A" w:rsidP="00AE4F1A">
      <w:r>
        <w:t xml:space="preserve">Jeżeli kwota uzyskana na etapie 1 będzie wyższa od tej maksymalnej kwoty, ostateczna kwota dotacji zostanie obniżona do maksymalnej kwoty dotacji. </w:t>
      </w:r>
    </w:p>
    <w:p w14:paraId="4B537CBE" w14:textId="77777777" w:rsidR="007C0EC9" w:rsidRPr="00345713" w:rsidRDefault="007C0EC9" w:rsidP="006132E7">
      <w:r>
        <w:t>Jeżeli</w:t>
      </w:r>
      <w:r w:rsidR="00C24B90">
        <w:t xml:space="preserve"> w ram</w:t>
      </w:r>
      <w:r>
        <w:t>ach bezpośrednich kosztów kwalifikowalnych zadeklarowano pracę wolontariuszy, ostateczna kwota dotacji jest ograniczona do kwoty łącznych kosztów kwalifikowalnych</w:t>
      </w:r>
      <w:r w:rsidR="00C24B90">
        <w:t xml:space="preserve"> i wkł</w:t>
      </w:r>
      <w:r>
        <w:t>adów zatwierdzonych przez Komisję pomniejszonej</w:t>
      </w:r>
      <w:r w:rsidR="00C24B90">
        <w:t xml:space="preserve"> o zat</w:t>
      </w:r>
      <w:r>
        <w:t>wierdzoną przez Komisję kwotę dotyczącą pracy wolontariuszy.</w:t>
      </w:r>
    </w:p>
    <w:p w14:paraId="5CE56F7F" w14:textId="77777777" w:rsidR="00171637" w:rsidRPr="00345713" w:rsidRDefault="00171637" w:rsidP="00F91F23">
      <w:pPr>
        <w:pStyle w:val="Nagwek3"/>
        <w:ind w:left="993" w:hanging="993"/>
        <w:jc w:val="both"/>
      </w:pPr>
      <w:bookmarkStart w:id="186" w:name="_Toc441250875"/>
      <w:bookmarkStart w:id="187" w:name="_Toc530496969"/>
      <w:bookmarkStart w:id="188" w:name="_Toc30764070"/>
      <w:r>
        <w:t>II.25.3</w:t>
      </w:r>
      <w:r>
        <w:tab/>
        <w:t>Etap 3 – zmniejszenie</w:t>
      </w:r>
      <w:r w:rsidR="00C24B90">
        <w:t xml:space="preserve"> z tyt</w:t>
      </w:r>
      <w:r>
        <w:t>ułu zasady niedochodowości</w:t>
      </w:r>
      <w:bookmarkEnd w:id="186"/>
      <w:bookmarkEnd w:id="187"/>
      <w:bookmarkEnd w:id="188"/>
    </w:p>
    <w:p w14:paraId="68F3393F" w14:textId="77777777" w:rsidR="00600EBA" w:rsidRPr="00345713" w:rsidRDefault="00171637" w:rsidP="00DA09E4">
      <w:r>
        <w:t>Dotacja nie może przynosić zysku beneficjentom, chyba że</w:t>
      </w:r>
      <w:r w:rsidR="00C24B90">
        <w:t xml:space="preserve"> w War</w:t>
      </w:r>
      <w:r>
        <w:t>unkach Szczegółowych postanowiono inaczej.</w:t>
      </w:r>
    </w:p>
    <w:p w14:paraId="55E8051F" w14:textId="77777777" w:rsidR="00527AC6" w:rsidRDefault="00527AC6" w:rsidP="002740CE">
      <w:r>
        <w:t>Zysk należy obliczyć następująco:</w:t>
      </w:r>
    </w:p>
    <w:p w14:paraId="41194AEE" w14:textId="77777777" w:rsidR="00527AC6" w:rsidRPr="00E77870" w:rsidRDefault="00527AC6" w:rsidP="00527AC6">
      <w:pPr>
        <w:ind w:left="709" w:hanging="709"/>
      </w:pPr>
      <w:r>
        <w:t>a)</w:t>
      </w:r>
      <w:r>
        <w:tab/>
        <w:t>obliczyć nadwyżkę łącznych wpływów</w:t>
      </w:r>
      <w:r w:rsidR="00C24B90">
        <w:t xml:space="preserve"> z dzi</w:t>
      </w:r>
      <w:r>
        <w:t>ałania nad łącznymi kosztami kwalifikowalnymi działania</w:t>
      </w:r>
      <w:r w:rsidR="00C24B90">
        <w:t xml:space="preserve"> w nas</w:t>
      </w:r>
      <w:r>
        <w:t>tępujący sposób:</w:t>
      </w:r>
    </w:p>
    <w:p w14:paraId="025C700B" w14:textId="77777777" w:rsidR="00851C56" w:rsidRDefault="00851C56" w:rsidP="006D17C1">
      <w:pPr>
        <w:ind w:left="993" w:hanging="284"/>
      </w:pPr>
      <w:r>
        <w:t>{</w:t>
      </w:r>
      <w:r>
        <w:tab/>
        <w:t>wpływy</w:t>
      </w:r>
      <w:r w:rsidR="00C24B90">
        <w:t xml:space="preserve"> z dzi</w:t>
      </w:r>
      <w:r>
        <w:t xml:space="preserve">ałania </w:t>
      </w:r>
    </w:p>
    <w:p w14:paraId="2F4318D5" w14:textId="77777777" w:rsidR="00851C56" w:rsidRPr="00E77870" w:rsidRDefault="00851C56" w:rsidP="006D17C1">
      <w:pPr>
        <w:ind w:left="1418" w:hanging="425"/>
      </w:pPr>
      <w:r>
        <w:t xml:space="preserve">minus </w:t>
      </w:r>
    </w:p>
    <w:p w14:paraId="3C1C7E1F" w14:textId="77777777" w:rsidR="00851C56" w:rsidRDefault="00A3284C" w:rsidP="006D17C1">
      <w:pPr>
        <w:ind w:left="993"/>
      </w:pPr>
      <w:r>
        <w:t>skonsolidowane łączne koszty kwalifikowalne</w:t>
      </w:r>
      <w:r w:rsidR="00C24B90">
        <w:t xml:space="preserve"> i wkł</w:t>
      </w:r>
      <w:r>
        <w:t>ady zatwierdzone przez Komisję, odpowiadające kwocie określonej zgodnie</w:t>
      </w:r>
      <w:r w:rsidR="00C24B90">
        <w:t xml:space="preserve"> z art</w:t>
      </w:r>
      <w:r>
        <w:t>. II.25.1</w:t>
      </w:r>
      <w:r>
        <w:tab/>
        <w:t>}</w:t>
      </w:r>
    </w:p>
    <w:p w14:paraId="2C1F3478" w14:textId="77777777" w:rsidR="00851C56" w:rsidRDefault="00851C56" w:rsidP="00527AC6">
      <w:pPr>
        <w:ind w:left="709" w:hanging="709"/>
      </w:pPr>
      <w:r>
        <w:t>Wpływy</w:t>
      </w:r>
      <w:r w:rsidR="00C24B90">
        <w:t xml:space="preserve"> z dzi</w:t>
      </w:r>
      <w:r>
        <w:t>ałania oblicza się następująco:</w:t>
      </w:r>
    </w:p>
    <w:p w14:paraId="442CA4D4" w14:textId="77777777" w:rsidR="00527AC6" w:rsidRPr="00E77870" w:rsidRDefault="00527AC6" w:rsidP="0047767D">
      <w:pPr>
        <w:ind w:left="709" w:hanging="283"/>
      </w:pPr>
      <w:r>
        <w:t>{</w:t>
      </w:r>
      <w:r>
        <w:tab/>
        <w:t>przychody uzyskane</w:t>
      </w:r>
      <w:r w:rsidR="00C24B90">
        <w:t xml:space="preserve"> w wyn</w:t>
      </w:r>
      <w:r>
        <w:t>iku działania</w:t>
      </w:r>
      <w:r w:rsidR="00C24B90">
        <w:t xml:space="preserve"> w odn</w:t>
      </w:r>
      <w:r>
        <w:t>iesieniu do beneficjentów</w:t>
      </w:r>
      <w:r w:rsidR="00C24B90">
        <w:t xml:space="preserve"> i pod</w:t>
      </w:r>
      <w:r>
        <w:t>miotów powiązanych innych niż organizacje nienastawione na zysk</w:t>
      </w:r>
    </w:p>
    <w:p w14:paraId="7FBC2C8F" w14:textId="77777777" w:rsidR="00527AC6" w:rsidRPr="00E77870" w:rsidRDefault="00527AC6" w:rsidP="00527AC6">
      <w:pPr>
        <w:ind w:left="709"/>
      </w:pPr>
      <w:r>
        <w:t xml:space="preserve">plus </w:t>
      </w:r>
    </w:p>
    <w:p w14:paraId="71065817" w14:textId="77777777" w:rsidR="00CA684B" w:rsidRDefault="00527AC6" w:rsidP="006D17C1">
      <w:pPr>
        <w:tabs>
          <w:tab w:val="left" w:pos="5387"/>
        </w:tabs>
        <w:ind w:left="709"/>
      </w:pPr>
      <w:r>
        <w:t>kwota uzyskana po przeprowadzeniu etapów 1</w:t>
      </w:r>
      <w:r w:rsidR="00C24B90">
        <w:t xml:space="preserve"> i 2</w:t>
      </w:r>
      <w:r>
        <w:tab/>
        <w:t>}</w:t>
      </w:r>
    </w:p>
    <w:p w14:paraId="1B6E6B29" w14:textId="77777777" w:rsidR="00870A1D" w:rsidRPr="00345713" w:rsidRDefault="00102EE4">
      <w:pPr>
        <w:ind w:left="709"/>
      </w:pPr>
      <w:r>
        <w:lastRenderedPageBreak/>
        <w:t>gdzie przychody uzyskane</w:t>
      </w:r>
      <w:r w:rsidR="00C24B90">
        <w:t xml:space="preserve"> w wyn</w:t>
      </w:r>
      <w:r>
        <w:t>iku działania oznaczają skonsolidowane przychody stwierdzone, uzyskane lub potwierdzone</w:t>
      </w:r>
      <w:r w:rsidR="00C24B90">
        <w:t xml:space="preserve"> w odn</w:t>
      </w:r>
      <w:r>
        <w:t>iesieniu do beneficjentów</w:t>
      </w:r>
      <w:r w:rsidR="00C24B90">
        <w:t xml:space="preserve"> i pod</w:t>
      </w:r>
      <w:r>
        <w:t>miotów powiązanych innych niż organizacje nienastawione na zysk, na dzień sporządzenia przez koordynatora wniosku</w:t>
      </w:r>
      <w:r w:rsidR="00C24B90">
        <w:t xml:space="preserve"> o pła</w:t>
      </w:r>
      <w:r>
        <w:t>tność salda.</w:t>
      </w:r>
    </w:p>
    <w:p w14:paraId="7611C0A9" w14:textId="77777777" w:rsidR="00642ADC" w:rsidRPr="00654F72" w:rsidRDefault="00600EBA" w:rsidP="00102EE4">
      <w:pPr>
        <w:rPr>
          <w:bCs/>
          <w:szCs w:val="24"/>
        </w:rPr>
      </w:pPr>
      <w:r>
        <w:t>Za wpływy nie uznaje się wkładów rzeczowych</w:t>
      </w:r>
      <w:r w:rsidR="00C24B90">
        <w:t xml:space="preserve"> i fin</w:t>
      </w:r>
      <w:r>
        <w:t>ansowych wniesionych przez strony trzecie.</w:t>
      </w:r>
    </w:p>
    <w:p w14:paraId="2218F926" w14:textId="77777777" w:rsidR="00600EBA" w:rsidRDefault="00C3663A" w:rsidP="00102EE4">
      <w:pPr>
        <w:ind w:left="709" w:hanging="709"/>
      </w:pPr>
      <w:r>
        <w:t>b)</w:t>
      </w:r>
      <w:r>
        <w:tab/>
        <w:t>Jeżeli kwota obliczona</w:t>
      </w:r>
      <w:r w:rsidR="00C24B90">
        <w:t xml:space="preserve"> w </w:t>
      </w:r>
      <w:r w:rsidR="00C24B90" w:rsidRPr="00C24B90">
        <w:t>lit</w:t>
      </w:r>
      <w:r w:rsidRPr="00C24B90">
        <w:t>.</w:t>
      </w:r>
      <w:r w:rsidR="00C24B90" w:rsidRPr="00C24B90">
        <w:t> </w:t>
      </w:r>
      <w:r w:rsidRPr="00C24B90">
        <w:t>a)</w:t>
      </w:r>
      <w:r>
        <w:t xml:space="preserve"> jest dodatnia, zostanie ona odliczona od kwoty obliczonej</w:t>
      </w:r>
      <w:r w:rsidR="00C24B90">
        <w:t xml:space="preserve"> w eta</w:t>
      </w:r>
      <w:r>
        <w:t>pach 1</w:t>
      </w:r>
      <w:r w:rsidR="00C24B90">
        <w:t xml:space="preserve"> i 2</w:t>
      </w:r>
      <w:r>
        <w:t>, proporcjonalnie do ostatecznej stopy zwrotu faktycznych kwalifikowalnych kosztów działania zatwierdzonych przez Komisję</w:t>
      </w:r>
      <w:r w:rsidR="00C24B90">
        <w:t xml:space="preserve"> w odn</w:t>
      </w:r>
      <w:r>
        <w:t>iesieniu do kategorii kosztów,</w:t>
      </w:r>
      <w:r w:rsidR="00C24B90">
        <w:t xml:space="preserve"> o któ</w:t>
      </w:r>
      <w:r>
        <w:t>rych mowa</w:t>
      </w:r>
      <w:r w:rsidR="00C24B90">
        <w:t xml:space="preserve"> w art</w:t>
      </w:r>
      <w:r>
        <w:t xml:space="preserve">. I.3.2 </w:t>
      </w:r>
      <w:r w:rsidRPr="00C24B90">
        <w:t>lit.</w:t>
      </w:r>
      <w:r w:rsidR="00C24B90" w:rsidRPr="00C24B90">
        <w:t> </w:t>
      </w:r>
      <w:r w:rsidRPr="00C24B90">
        <w:t>a)</w:t>
      </w:r>
      <w:r>
        <w:t xml:space="preserve"> </w:t>
      </w:r>
      <w:proofErr w:type="spellStart"/>
      <w:r>
        <w:t>ppkt</w:t>
      </w:r>
      <w:proofErr w:type="spellEnd"/>
      <w:r>
        <w:t xml:space="preserve"> (i).</w:t>
      </w:r>
    </w:p>
    <w:p w14:paraId="331AF40F" w14:textId="77777777" w:rsidR="00171637" w:rsidRPr="00345713" w:rsidRDefault="00171637" w:rsidP="009D282C">
      <w:pPr>
        <w:pStyle w:val="Nagwek3"/>
        <w:ind w:left="993" w:hanging="993"/>
        <w:jc w:val="both"/>
      </w:pPr>
      <w:bookmarkStart w:id="189" w:name="_Toc441250876"/>
      <w:bookmarkStart w:id="190" w:name="_Toc530496970"/>
      <w:bookmarkStart w:id="191" w:name="_Toc30764071"/>
      <w:r>
        <w:t>II.25.4</w:t>
      </w:r>
      <w:r>
        <w:tab/>
        <w:t>Etap 4 – zmniejszenie</w:t>
      </w:r>
      <w:r w:rsidR="00C24B90">
        <w:t xml:space="preserve"> z tyt</w:t>
      </w:r>
      <w:r>
        <w:t>ułu nieprawidłowej realizacji działania lub naruszenia innych obowiązków.</w:t>
      </w:r>
      <w:bookmarkEnd w:id="189"/>
      <w:bookmarkEnd w:id="190"/>
      <w:bookmarkEnd w:id="191"/>
    </w:p>
    <w:p w14:paraId="2C11A157" w14:textId="77777777" w:rsidR="00203E5B" w:rsidRPr="00345713" w:rsidRDefault="00FB7BFF" w:rsidP="00770E86">
      <w:r>
        <w:t>Komisja może obniżyć wysokość maksymalnej kwoty dotacji, jeżeli działanie nie zostało zrealizowane</w:t>
      </w:r>
      <w:r w:rsidR="00C24B90">
        <w:t xml:space="preserve"> w pra</w:t>
      </w:r>
      <w:r>
        <w:t>widłowy sposób zgodnie</w:t>
      </w:r>
      <w:r w:rsidR="00C24B90">
        <w:t xml:space="preserve"> z zał</w:t>
      </w:r>
      <w:r>
        <w:t>ącznikiem I</w:t>
      </w:r>
      <w:r w:rsidR="00496B83">
        <w:t>I</w:t>
      </w:r>
      <w:r>
        <w:t xml:space="preserve"> (tj. jeżeli nie zostało wcale zrealizowane lub zostało zrealizowane</w:t>
      </w:r>
      <w:r w:rsidR="00C24B90">
        <w:t xml:space="preserve"> w nie</w:t>
      </w:r>
      <w:r>
        <w:t>zadowalającym stopniu, częściowo lub</w:t>
      </w:r>
      <w:r w:rsidR="00C24B90">
        <w:t xml:space="preserve"> z opó</w:t>
      </w:r>
      <w:r>
        <w:t>źnieniem) lub jeżeli doszło do naruszenia innego obowiązku przewidzianego</w:t>
      </w:r>
      <w:r w:rsidR="00C24B90">
        <w:t xml:space="preserve"> w Umo</w:t>
      </w:r>
      <w:r>
        <w:t>wie.</w:t>
      </w:r>
    </w:p>
    <w:p w14:paraId="3B6761CB" w14:textId="77777777" w:rsidR="007B1C10" w:rsidRPr="00345713" w:rsidRDefault="007B1C10" w:rsidP="00770E86">
      <w:r>
        <w:t>Kwota takiego zmniejszenia będzie proporcjonalna do skali nieprawidłowości</w:t>
      </w:r>
      <w:r w:rsidR="00C24B90">
        <w:t xml:space="preserve"> w rea</w:t>
      </w:r>
      <w:r>
        <w:t>lizacji działania lub do powagi naruszenia.</w:t>
      </w:r>
    </w:p>
    <w:p w14:paraId="081F84C3" w14:textId="77777777" w:rsidR="007B1C10" w:rsidRPr="00345713" w:rsidRDefault="007B1C10" w:rsidP="00770E86">
      <w:r>
        <w:t>Przed podjęciem decyzji</w:t>
      </w:r>
      <w:r w:rsidR="00C24B90">
        <w:t xml:space="preserve"> o obn</w:t>
      </w:r>
      <w:r>
        <w:t>iżeniu kwoty dotacji Komisja musi przekazać koordynatorowi formalne zawiadomienie:</w:t>
      </w:r>
    </w:p>
    <w:p w14:paraId="3C34E26A" w14:textId="77777777" w:rsidR="001B2B82" w:rsidRPr="00345713" w:rsidRDefault="007B1C10" w:rsidP="003A2A37">
      <w:pPr>
        <w:numPr>
          <w:ilvl w:val="0"/>
          <w:numId w:val="59"/>
        </w:numPr>
      </w:pPr>
      <w:r>
        <w:t>w którym poinformuje go o:</w:t>
      </w:r>
    </w:p>
    <w:p w14:paraId="53DED17A" w14:textId="77777777" w:rsidR="001B2B82" w:rsidRPr="00345713" w:rsidRDefault="007B1C10" w:rsidP="003A2A37">
      <w:pPr>
        <w:numPr>
          <w:ilvl w:val="0"/>
          <w:numId w:val="60"/>
        </w:numPr>
        <w:ind w:left="1276" w:hanging="567"/>
      </w:pPr>
      <w:r>
        <w:t>zamiarze obniżenia maksymalnej kwoty dotacji;</w:t>
      </w:r>
    </w:p>
    <w:p w14:paraId="26170E69" w14:textId="77777777" w:rsidR="001B2B82" w:rsidRPr="00345713" w:rsidRDefault="007B1C10" w:rsidP="003A2A37">
      <w:pPr>
        <w:numPr>
          <w:ilvl w:val="0"/>
          <w:numId w:val="60"/>
        </w:numPr>
        <w:ind w:left="1276" w:hanging="567"/>
      </w:pPr>
      <w:r>
        <w:t>kwocie,</w:t>
      </w:r>
      <w:r w:rsidR="00C24B90">
        <w:t xml:space="preserve"> o któ</w:t>
      </w:r>
      <w:r>
        <w:t>rą zamierza pomniejszyć wysokość dotacji;</w:t>
      </w:r>
    </w:p>
    <w:p w14:paraId="5D90AADC" w14:textId="77777777" w:rsidR="007B1C10" w:rsidRPr="00C24B90" w:rsidRDefault="007B1C10" w:rsidP="003A2A37">
      <w:pPr>
        <w:numPr>
          <w:ilvl w:val="0"/>
          <w:numId w:val="60"/>
        </w:numPr>
        <w:ind w:left="1276" w:hanging="567"/>
      </w:pPr>
      <w:r>
        <w:t>przyczynach obniżenia kwoty dotacji;</w:t>
      </w:r>
    </w:p>
    <w:p w14:paraId="11F79629" w14:textId="77777777" w:rsidR="007B1C10" w:rsidRPr="00345713" w:rsidRDefault="001B2B82" w:rsidP="003A2A37">
      <w:pPr>
        <w:numPr>
          <w:ilvl w:val="0"/>
          <w:numId w:val="59"/>
        </w:numPr>
      </w:pPr>
      <w:r w:rsidRPr="00C24B90">
        <w:t>w</w:t>
      </w:r>
      <w:r>
        <w:t>ezwie go do przedstawienia uwag</w:t>
      </w:r>
      <w:r w:rsidR="00C24B90">
        <w:t xml:space="preserve"> w ter</w:t>
      </w:r>
      <w:r>
        <w:t>minie 30 dni kalendarzowych od dnia otrzymania formalnego zawiadomienia.</w:t>
      </w:r>
    </w:p>
    <w:p w14:paraId="62486D5F" w14:textId="77777777" w:rsidR="00203E5B" w:rsidRPr="00345713" w:rsidRDefault="007B1C10" w:rsidP="00770E86">
      <w:r>
        <w:t>Jeżeli Komisja nie otrzyma żadnych uwag lub podejmie decyzję</w:t>
      </w:r>
      <w:r w:rsidR="00C24B90">
        <w:t xml:space="preserve"> o obn</w:t>
      </w:r>
      <w:r>
        <w:t>iżeniu kwoty dotacji pomimo otrzymania takich uwag, przekaże koordynatorowi formalne zawiadomienie,</w:t>
      </w:r>
      <w:r w:rsidR="00C24B90">
        <w:t xml:space="preserve"> w któ</w:t>
      </w:r>
      <w:r>
        <w:t>rym poinformuje go</w:t>
      </w:r>
      <w:r w:rsidR="00C24B90">
        <w:t xml:space="preserve"> o swo</w:t>
      </w:r>
      <w:r>
        <w:t>jej decyzji.</w:t>
      </w:r>
    </w:p>
    <w:p w14:paraId="0F98C47C" w14:textId="77777777" w:rsidR="003461D7" w:rsidRPr="00345713" w:rsidRDefault="00382050" w:rsidP="00770E86">
      <w:pPr>
        <w:rPr>
          <w:rFonts w:eastAsia="Calibri"/>
        </w:rPr>
      </w:pPr>
      <w:r>
        <w:t>W przypadku podjęcia decyzji</w:t>
      </w:r>
      <w:r w:rsidR="00C24B90">
        <w:t xml:space="preserve"> o dok</w:t>
      </w:r>
      <w:r>
        <w:t>onaniu zmniejszenia Komisja musi obliczyć obniżoną kwotę dotacji, odejmując kwotę zmniejszenia (obliczoną proporcjonalnie do skali nieprawidłowości</w:t>
      </w:r>
      <w:r w:rsidR="00C24B90">
        <w:t xml:space="preserve"> w rea</w:t>
      </w:r>
      <w:r>
        <w:t>lizacji działania lub do powagi naruszenia obowiązków) od maksymalnej kwoty dotacji.</w:t>
      </w:r>
    </w:p>
    <w:p w14:paraId="72B67CE5" w14:textId="77777777" w:rsidR="00382050" w:rsidRPr="00345713" w:rsidRDefault="00382050" w:rsidP="00770E86">
      <w:pPr>
        <w:rPr>
          <w:rFonts w:eastAsia="Calibri"/>
        </w:rPr>
      </w:pPr>
      <w:r>
        <w:t>Ostateczna kwota dotacji odpowiada niższej</w:t>
      </w:r>
      <w:r w:rsidR="00C24B90">
        <w:t xml:space="preserve"> z nas</w:t>
      </w:r>
      <w:r>
        <w:t>tępujących dwóch kwot:</w:t>
      </w:r>
    </w:p>
    <w:p w14:paraId="5DE251B4" w14:textId="77777777" w:rsidR="00382050" w:rsidRPr="00345713" w:rsidRDefault="00382050" w:rsidP="003A2A37">
      <w:pPr>
        <w:numPr>
          <w:ilvl w:val="0"/>
          <w:numId w:val="61"/>
        </w:numPr>
        <w:rPr>
          <w:rFonts w:eastAsia="Calibri"/>
        </w:rPr>
      </w:pPr>
      <w:r>
        <w:t>kwocie uzyskanej po przeprowadzeniu etapów 1–3; lub</w:t>
      </w:r>
    </w:p>
    <w:p w14:paraId="4E65519D" w14:textId="77777777" w:rsidR="00382050" w:rsidRPr="00345713" w:rsidRDefault="00382050" w:rsidP="003A2A37">
      <w:pPr>
        <w:numPr>
          <w:ilvl w:val="0"/>
          <w:numId w:val="61"/>
        </w:numPr>
        <w:rPr>
          <w:rFonts w:eastAsia="Calibri"/>
        </w:rPr>
      </w:pPr>
      <w:r>
        <w:t>obniżonej kwocie dotacji obliczonej po przeprowadzeniu etapu 4.</w:t>
      </w:r>
    </w:p>
    <w:p w14:paraId="1FF8CB1B" w14:textId="77777777" w:rsidR="00171637" w:rsidRPr="00345713" w:rsidRDefault="000A4F91" w:rsidP="00770E86">
      <w:pPr>
        <w:pStyle w:val="Nagwek2"/>
      </w:pPr>
      <w:bookmarkStart w:id="192" w:name="_Toc441250877"/>
      <w:bookmarkStart w:id="193" w:name="_Toc530496971"/>
      <w:bookmarkStart w:id="194" w:name="_Toc30764072"/>
      <w:r>
        <w:t>Artykuł II.26 – Odzyskanie środków</w:t>
      </w:r>
      <w:bookmarkEnd w:id="192"/>
      <w:bookmarkEnd w:id="193"/>
      <w:bookmarkEnd w:id="194"/>
    </w:p>
    <w:p w14:paraId="269480D5" w14:textId="77777777" w:rsidR="00A60B44" w:rsidRPr="00345713" w:rsidRDefault="00171637" w:rsidP="007F5C0C">
      <w:pPr>
        <w:pStyle w:val="Nagwek3"/>
        <w:tabs>
          <w:tab w:val="left" w:pos="851"/>
        </w:tabs>
      </w:pPr>
      <w:bookmarkStart w:id="195" w:name="_Toc441250878"/>
      <w:bookmarkStart w:id="196" w:name="_Toc530496972"/>
      <w:bookmarkStart w:id="197" w:name="_Toc30764073"/>
      <w:r>
        <w:lastRenderedPageBreak/>
        <w:t>II.26.1</w:t>
      </w:r>
      <w:r>
        <w:tab/>
        <w:t>Odzyskanie środków przy płatności salda</w:t>
      </w:r>
      <w:bookmarkEnd w:id="195"/>
      <w:bookmarkEnd w:id="196"/>
      <w:bookmarkEnd w:id="197"/>
    </w:p>
    <w:p w14:paraId="2A1F43CC" w14:textId="77777777" w:rsidR="009B5301" w:rsidRPr="00345713" w:rsidRDefault="009B5301" w:rsidP="00770E86">
      <w:r>
        <w:t>W przypadkach,</w:t>
      </w:r>
      <w:r w:rsidR="00C24B90">
        <w:t xml:space="preserve"> w któ</w:t>
      </w:r>
      <w:r>
        <w:t>rych płatność salda przyjmuje formę odzyskania środków, koordynator musi zwrócić Komisji odpowiednią kwotę, nawet jeżeli nie był on odbiorcą końcowym należnej kwoty.</w:t>
      </w:r>
    </w:p>
    <w:p w14:paraId="0C78A97A" w14:textId="77777777" w:rsidR="00A60B44" w:rsidRPr="00345713" w:rsidRDefault="00A60B44" w:rsidP="007F5C0C">
      <w:pPr>
        <w:pStyle w:val="Nagwek3"/>
        <w:tabs>
          <w:tab w:val="left" w:pos="851"/>
        </w:tabs>
      </w:pPr>
      <w:bookmarkStart w:id="198" w:name="_Toc441250879"/>
      <w:bookmarkStart w:id="199" w:name="_Toc530496973"/>
      <w:bookmarkStart w:id="200" w:name="_Toc30764074"/>
      <w:r>
        <w:t>II.26.2</w:t>
      </w:r>
      <w:r>
        <w:tab/>
        <w:t>Odzyskanie środków po dokonaniu płatności salda</w:t>
      </w:r>
      <w:bookmarkEnd w:id="198"/>
      <w:bookmarkEnd w:id="199"/>
      <w:bookmarkEnd w:id="200"/>
    </w:p>
    <w:p w14:paraId="0C0A61EC" w14:textId="77777777" w:rsidR="00171637" w:rsidRPr="00345713" w:rsidRDefault="00171637" w:rsidP="00770E86">
      <w:r>
        <w:t>W przypadku konieczności odzyskania kwoty zgodnie</w:t>
      </w:r>
      <w:r w:rsidR="00C24B90">
        <w:t xml:space="preserve"> z pos</w:t>
      </w:r>
      <w:r>
        <w:t>tanowieniami art. II.27.6, II.27.7 i II.27.8 beneficjent, którego dotyczą ustalenia audytowe lub ustalenia OLAF-u, musi zwrócić Komisji odpowiednią kwotę. Jeżeli ustalenia</w:t>
      </w:r>
      <w:r w:rsidR="00C24B90">
        <w:t xml:space="preserve"> z aud</w:t>
      </w:r>
      <w:r>
        <w:t>ytu nie dotyczą konkretnego beneficjenta (ani podmiotów</w:t>
      </w:r>
      <w:r w:rsidR="00C24B90">
        <w:t xml:space="preserve"> z nim</w:t>
      </w:r>
      <w:r>
        <w:t xml:space="preserve"> powiązanych), koordynator musi zwrócić Komisji odpowiednią kwotę nawet</w:t>
      </w:r>
      <w:r w:rsidR="00C24B90">
        <w:t xml:space="preserve"> w prz</w:t>
      </w:r>
      <w:r>
        <w:t xml:space="preserve">ypadku, gdy nie był on odbiorcą końcowym należnej kwoty.   </w:t>
      </w:r>
    </w:p>
    <w:p w14:paraId="055B61D8" w14:textId="77777777" w:rsidR="00FC1021" w:rsidRPr="00345713" w:rsidRDefault="00FC1021" w:rsidP="00770E86">
      <w:r>
        <w:t>Każdy beneficjent jest odpowiedzialny za zwrócenie wszelkich kwot nienależnie wypłaconych przez Komisję jako wkład na poczet kosztów poniesionych przez podmioty</w:t>
      </w:r>
      <w:r w:rsidR="00C24B90">
        <w:t xml:space="preserve"> z nim</w:t>
      </w:r>
      <w:r>
        <w:t xml:space="preserve"> powiązane.</w:t>
      </w:r>
    </w:p>
    <w:p w14:paraId="1DC55D68" w14:textId="77777777" w:rsidR="009B6CEB" w:rsidRPr="00345713" w:rsidRDefault="00171637" w:rsidP="007F5C0C">
      <w:pPr>
        <w:pStyle w:val="Nagwek3"/>
        <w:tabs>
          <w:tab w:val="left" w:pos="851"/>
        </w:tabs>
      </w:pPr>
      <w:bookmarkStart w:id="201" w:name="_Toc441250880"/>
      <w:bookmarkStart w:id="202" w:name="_Toc530496974"/>
      <w:bookmarkStart w:id="203" w:name="_Toc30764075"/>
      <w:r>
        <w:t>II.26.3</w:t>
      </w:r>
      <w:r>
        <w:tab/>
        <w:t>Procedura odzyskiwania środków</w:t>
      </w:r>
      <w:bookmarkEnd w:id="201"/>
      <w:bookmarkEnd w:id="202"/>
      <w:bookmarkEnd w:id="203"/>
    </w:p>
    <w:p w14:paraId="379D32A0" w14:textId="77777777" w:rsidR="00451E89" w:rsidRPr="00345713" w:rsidRDefault="00171637" w:rsidP="00770E86">
      <w:r>
        <w:t>Przed odzyskaniem środków Komisja musi przekazać odpowiedniemu beneficjentowi formalne zawiadomienie,</w:t>
      </w:r>
      <w:r w:rsidR="00C24B90">
        <w:t xml:space="preserve"> w któ</w:t>
      </w:r>
      <w:r>
        <w:t>rym:</w:t>
      </w:r>
    </w:p>
    <w:p w14:paraId="24AC07C8" w14:textId="77777777" w:rsidR="00451E89" w:rsidRPr="00345713" w:rsidRDefault="00451E89" w:rsidP="003A2A37">
      <w:pPr>
        <w:numPr>
          <w:ilvl w:val="0"/>
          <w:numId w:val="62"/>
        </w:numPr>
      </w:pPr>
      <w:r>
        <w:t>poinformuje go</w:t>
      </w:r>
      <w:r w:rsidR="00C24B90">
        <w:t xml:space="preserve"> o zam</w:t>
      </w:r>
      <w:r>
        <w:t>iarze odzyskania nienależnie wypłaconej kwoty;</w:t>
      </w:r>
    </w:p>
    <w:p w14:paraId="76B34D75" w14:textId="77777777" w:rsidR="00451E89" w:rsidRPr="00345713" w:rsidRDefault="00171637" w:rsidP="003A2A37">
      <w:pPr>
        <w:numPr>
          <w:ilvl w:val="0"/>
          <w:numId w:val="62"/>
        </w:numPr>
      </w:pPr>
      <w:r>
        <w:t>określi wysokość należnej kwoty oraz przedstawi przyczyny wszczęcia procedury odzyskiwania środków; oraz</w:t>
      </w:r>
    </w:p>
    <w:p w14:paraId="57AF7E7C" w14:textId="77777777" w:rsidR="00171637" w:rsidRPr="00345713" w:rsidRDefault="00171637" w:rsidP="003A2A37">
      <w:pPr>
        <w:numPr>
          <w:ilvl w:val="0"/>
          <w:numId w:val="62"/>
        </w:numPr>
      </w:pPr>
      <w:r>
        <w:t>zwróci się do beneficjenta</w:t>
      </w:r>
      <w:r w:rsidR="00C24B90">
        <w:t xml:space="preserve"> o prz</w:t>
      </w:r>
      <w:r>
        <w:t>edstawienie wszelkich uwag</w:t>
      </w:r>
      <w:r w:rsidR="00C24B90">
        <w:t xml:space="preserve"> w wyz</w:t>
      </w:r>
      <w:r>
        <w:t>naczonym terminie.</w:t>
      </w:r>
    </w:p>
    <w:p w14:paraId="029433FE" w14:textId="77777777" w:rsidR="00171637" w:rsidRPr="00345713" w:rsidRDefault="00171637" w:rsidP="00770E86">
      <w:r>
        <w:t>Jeżeli nie przedstawiono żadnych uwag lub jeżeli pomimo przedstawienia uwag przez beneficjenta Komisja podejmie decyzję</w:t>
      </w:r>
      <w:r w:rsidR="00C24B90">
        <w:t xml:space="preserve"> o kon</w:t>
      </w:r>
      <w:r>
        <w:t>tynuacji procedury odzyskiwania środków, Komisja może potwierdzić odzyskanie środków, przekazując beneficjentowi formalne zawiadomienie zawierające notę debetową określającą warunki</w:t>
      </w:r>
      <w:r w:rsidR="00C24B90">
        <w:t xml:space="preserve"> i ter</w:t>
      </w:r>
      <w:r>
        <w:t>min płatności.</w:t>
      </w:r>
    </w:p>
    <w:p w14:paraId="0A9B3BB1" w14:textId="77777777" w:rsidR="00701E6F" w:rsidRPr="00345713" w:rsidRDefault="00171637" w:rsidP="00DA09E4">
      <w:r>
        <w:t>Jeżeli płatność nie zostanie zrealizowana</w:t>
      </w:r>
      <w:r w:rsidR="00C24B90">
        <w:t xml:space="preserve"> w ter</w:t>
      </w:r>
      <w:r>
        <w:t>minie wyznaczonym</w:t>
      </w:r>
      <w:r w:rsidR="00C24B90">
        <w:t xml:space="preserve"> w noc</w:t>
      </w:r>
      <w:r>
        <w:t>ie debetowej, Komisja odzyska należną kwotę:</w:t>
      </w:r>
    </w:p>
    <w:p w14:paraId="004DB36C" w14:textId="77777777" w:rsidR="00A65616" w:rsidRPr="00345713" w:rsidRDefault="00171637" w:rsidP="003A2A37">
      <w:pPr>
        <w:numPr>
          <w:ilvl w:val="0"/>
          <w:numId w:val="63"/>
        </w:numPr>
      </w:pPr>
      <w:r>
        <w:t>dokonując jej potrącenia, bez wcześniejszej zgody beneficjenta,</w:t>
      </w:r>
      <w:r w:rsidR="00C24B90">
        <w:t xml:space="preserve"> z kwo</w:t>
      </w:r>
      <w:r>
        <w:t>t należnych beneficjentowi od Komisji lub od agencji wykonawczej (z budżetu Unii lub</w:t>
      </w:r>
      <w:r w:rsidR="00C24B90">
        <w:t xml:space="preserve"> z bud</w:t>
      </w:r>
      <w:r>
        <w:t>żetu Europejskiej Wspólnoty Energii Atomowej (</w:t>
      </w:r>
      <w:proofErr w:type="spellStart"/>
      <w:r>
        <w:t>Euratom</w:t>
      </w:r>
      <w:proofErr w:type="spellEnd"/>
      <w:r>
        <w:t>) („potrącenie”).</w:t>
      </w:r>
    </w:p>
    <w:p w14:paraId="3FE8F098" w14:textId="77777777" w:rsidR="00A65616" w:rsidRPr="00345713" w:rsidRDefault="00A65616" w:rsidP="002C30C1">
      <w:pPr>
        <w:ind w:left="709"/>
      </w:pPr>
      <w:r>
        <w:t>W wyjątkowych okolicznościach, gdy będzie to konieczne do zabezpieczenia interesów finansowych Unii, Komisja może dokonać potrącenia przed upływem terminu wymagalności.</w:t>
      </w:r>
    </w:p>
    <w:p w14:paraId="6662D4E8" w14:textId="77777777" w:rsidR="0011307E" w:rsidRPr="00345713" w:rsidRDefault="00A65616" w:rsidP="002C30C1">
      <w:pPr>
        <w:ind w:left="709"/>
      </w:pPr>
      <w:r>
        <w:t xml:space="preserve">Od tego rodzaju decyzji można wnieść odwołanie do Sądu na podstawie </w:t>
      </w:r>
      <w:r w:rsidRPr="00C24B90">
        <w:t>art.</w:t>
      </w:r>
      <w:r w:rsidR="00C24B90" w:rsidRPr="00C24B90">
        <w:t> </w:t>
      </w:r>
      <w:r w:rsidRPr="00C24B90">
        <w:t>2</w:t>
      </w:r>
      <w:r>
        <w:t>63 TFUE;</w:t>
      </w:r>
    </w:p>
    <w:p w14:paraId="788EB9DF" w14:textId="77777777" w:rsidR="00701E6F" w:rsidRPr="00345713" w:rsidRDefault="00171637" w:rsidP="003A2A37">
      <w:pPr>
        <w:numPr>
          <w:ilvl w:val="0"/>
          <w:numId w:val="63"/>
        </w:numPr>
      </w:pPr>
      <w:r>
        <w:t>wykorzystując gwarancję finansową</w:t>
      </w:r>
      <w:r w:rsidR="00C24B90">
        <w:t xml:space="preserve"> w prz</w:t>
      </w:r>
      <w:r>
        <w:t>ypadkach przewidzianych</w:t>
      </w:r>
      <w:r w:rsidR="00C24B90">
        <w:t xml:space="preserve"> w art</w:t>
      </w:r>
      <w:r>
        <w:t>. I.</w:t>
      </w:r>
      <w:r w:rsidR="00496B83">
        <w:t>4</w:t>
      </w:r>
      <w:r>
        <w:t>.2 („wykorzystanie gwarancji finansowej”);</w:t>
      </w:r>
    </w:p>
    <w:p w14:paraId="167D87F1" w14:textId="77777777" w:rsidR="0011307E" w:rsidRPr="00345713" w:rsidRDefault="00701E6F" w:rsidP="003A2A37">
      <w:pPr>
        <w:numPr>
          <w:ilvl w:val="0"/>
          <w:numId w:val="63"/>
        </w:numPr>
      </w:pPr>
      <w:r>
        <w:t>pociągając beneficjentów do solidarnej odpowiedzialności do wysokości maksymalnego wkładu UE określonego –</w:t>
      </w:r>
      <w:r w:rsidR="00C24B90">
        <w:t xml:space="preserve"> w odn</w:t>
      </w:r>
      <w:r>
        <w:t>iesieniu do każdego beneficjenta –</w:t>
      </w:r>
      <w:r w:rsidR="00C24B90">
        <w:t xml:space="preserve"> w sza</w:t>
      </w:r>
      <w:r>
        <w:t>cowanym budżecie (;</w:t>
      </w:r>
    </w:p>
    <w:p w14:paraId="68D4D9A0" w14:textId="77777777" w:rsidR="00171637" w:rsidRPr="00345713" w:rsidRDefault="00EA4213" w:rsidP="003A2A37">
      <w:pPr>
        <w:numPr>
          <w:ilvl w:val="0"/>
          <w:numId w:val="63"/>
        </w:numPr>
      </w:pPr>
      <w:r>
        <w:lastRenderedPageBreak/>
        <w:t>podejmując kroki prawne przewidziane</w:t>
      </w:r>
      <w:r w:rsidR="00C24B90">
        <w:t xml:space="preserve"> w art</w:t>
      </w:r>
      <w:r>
        <w:t>. II.18.2 lub</w:t>
      </w:r>
      <w:r w:rsidR="00C24B90">
        <w:t xml:space="preserve"> w War</w:t>
      </w:r>
      <w:r>
        <w:t>unkach Szczegółowych lub przyjmując decyzję stanowiącą tytuł egzekucyjny zgodnie</w:t>
      </w:r>
      <w:r w:rsidR="00C24B90">
        <w:t xml:space="preserve"> z art</w:t>
      </w:r>
      <w:r>
        <w:t>. II.18.3.</w:t>
      </w:r>
    </w:p>
    <w:p w14:paraId="48ADCE5A" w14:textId="77777777" w:rsidR="009B6CEB" w:rsidRPr="00345713" w:rsidRDefault="00171637" w:rsidP="007F5C0C">
      <w:pPr>
        <w:pStyle w:val="Nagwek3"/>
        <w:tabs>
          <w:tab w:val="left" w:pos="851"/>
        </w:tabs>
      </w:pPr>
      <w:bookmarkStart w:id="204" w:name="_Toc441250881"/>
      <w:bookmarkStart w:id="205" w:name="_Toc530496975"/>
      <w:bookmarkStart w:id="206" w:name="_Toc30764076"/>
      <w:r>
        <w:t>II.26.4</w:t>
      </w:r>
      <w:r>
        <w:tab/>
        <w:t>Odsetki za zwłokę</w:t>
      </w:r>
      <w:bookmarkEnd w:id="204"/>
      <w:bookmarkEnd w:id="205"/>
      <w:bookmarkEnd w:id="206"/>
    </w:p>
    <w:p w14:paraId="4ED23CDE" w14:textId="77777777" w:rsidR="00171637" w:rsidRPr="00345713" w:rsidRDefault="00171637" w:rsidP="00770E86">
      <w:r>
        <w:t>Jeżeli płatność nie zostanie zrealizowana</w:t>
      </w:r>
      <w:r w:rsidR="00C24B90">
        <w:t xml:space="preserve"> w ter</w:t>
      </w:r>
      <w:r>
        <w:t>minie określonym</w:t>
      </w:r>
      <w:r w:rsidR="00C24B90">
        <w:t xml:space="preserve"> w noc</w:t>
      </w:r>
      <w:r>
        <w:t>ie debetowej, kwota podlegająca odzyskaniu zostanie powiększona</w:t>
      </w:r>
      <w:r w:rsidR="00C24B90">
        <w:t xml:space="preserve"> o ods</w:t>
      </w:r>
      <w:r>
        <w:t>etki za zwłokę naliczane zgodnie ze stawką określoną</w:t>
      </w:r>
      <w:r w:rsidR="00C24B90">
        <w:t xml:space="preserve"> w art</w:t>
      </w:r>
      <w:r>
        <w:t>. I.</w:t>
      </w:r>
      <w:r w:rsidR="00496B83">
        <w:t>4</w:t>
      </w:r>
      <w:r>
        <w:t>.</w:t>
      </w:r>
      <w:r w:rsidR="00496B83">
        <w:t>14</w:t>
      </w:r>
      <w:r>
        <w:t xml:space="preserve"> od dnia następującego po upływie terminu płatności określonego</w:t>
      </w:r>
      <w:r w:rsidR="00C24B90">
        <w:t xml:space="preserve"> w noc</w:t>
      </w:r>
      <w:r>
        <w:t>ie debetowej do dnia,</w:t>
      </w:r>
      <w:r w:rsidR="00C24B90">
        <w:t xml:space="preserve"> w któ</w:t>
      </w:r>
      <w:r>
        <w:t>rym Komisja otrzyma należną kwotę</w:t>
      </w:r>
      <w:r w:rsidR="00C24B90">
        <w:t xml:space="preserve"> w peł</w:t>
      </w:r>
      <w:r>
        <w:t>nej wysokości włącznie.</w:t>
      </w:r>
    </w:p>
    <w:p w14:paraId="7275F93F" w14:textId="77777777" w:rsidR="00A833D1" w:rsidRPr="00345713" w:rsidRDefault="00A833D1" w:rsidP="00770E86">
      <w:r>
        <w:t>Płatności częściowe muszą zostać wykorzystane</w:t>
      </w:r>
      <w:r w:rsidR="00C24B90">
        <w:t xml:space="preserve"> w pie</w:t>
      </w:r>
      <w:r>
        <w:t>rwszej kolejności do pokrycia opłat</w:t>
      </w:r>
      <w:r w:rsidR="00C24B90">
        <w:t xml:space="preserve"> i ods</w:t>
      </w:r>
      <w:r>
        <w:t>etek za zwłokę</w:t>
      </w:r>
      <w:r w:rsidR="00C24B90">
        <w:t xml:space="preserve"> i mog</w:t>
      </w:r>
      <w:r>
        <w:t>ą zostać przeznaczone na spłatę kwoty głównej dopiero</w:t>
      </w:r>
      <w:r w:rsidR="00C24B90">
        <w:t xml:space="preserve"> w dal</w:t>
      </w:r>
      <w:r>
        <w:t>szej kolejności.</w:t>
      </w:r>
    </w:p>
    <w:p w14:paraId="32E7D59B" w14:textId="77777777" w:rsidR="009B6CEB" w:rsidRPr="00345713" w:rsidRDefault="00171637" w:rsidP="007F5C0C">
      <w:pPr>
        <w:pStyle w:val="Nagwek3"/>
        <w:tabs>
          <w:tab w:val="left" w:pos="851"/>
        </w:tabs>
      </w:pPr>
      <w:bookmarkStart w:id="207" w:name="_Toc441250882"/>
      <w:bookmarkStart w:id="208" w:name="_Toc530496976"/>
      <w:bookmarkStart w:id="209" w:name="_Toc30764077"/>
      <w:r>
        <w:t>II.26.5</w:t>
      </w:r>
      <w:r>
        <w:tab/>
        <w:t>Opłaty bankowe</w:t>
      </w:r>
      <w:bookmarkEnd w:id="207"/>
      <w:bookmarkEnd w:id="208"/>
      <w:bookmarkEnd w:id="209"/>
    </w:p>
    <w:p w14:paraId="02FA6E8F" w14:textId="77777777" w:rsidR="00171637" w:rsidRPr="00345713" w:rsidRDefault="00171637" w:rsidP="00770E86">
      <w:r>
        <w:t>Opłaty bankowe poniesione</w:t>
      </w:r>
      <w:r w:rsidR="00C24B90">
        <w:t xml:space="preserve"> w tok</w:t>
      </w:r>
      <w:r>
        <w:t>u procedury odzyskiwania środków muszą zostać uiszczone przez odpowiedniego beneficjenta, chyba że zastosowanie mają przepisy dyrektywy 2007/64/WE</w:t>
      </w:r>
      <w:r>
        <w:rPr>
          <w:rStyle w:val="Odwoanieprzypisudolnego"/>
        </w:rPr>
        <w:footnoteReference w:id="4"/>
      </w:r>
      <w:r>
        <w:t>.</w:t>
      </w:r>
    </w:p>
    <w:p w14:paraId="5C700FDB" w14:textId="77777777" w:rsidR="00171637" w:rsidRPr="00345713" w:rsidRDefault="000A4F91" w:rsidP="00770E86">
      <w:pPr>
        <w:pStyle w:val="Nagwek2"/>
      </w:pPr>
      <w:bookmarkStart w:id="210" w:name="_Toc441250883"/>
      <w:bookmarkStart w:id="211" w:name="_Toc530496977"/>
      <w:bookmarkStart w:id="212" w:name="_Toc30764078"/>
      <w:r>
        <w:t>Artykuł II.27 – Kontrole, audyty</w:t>
      </w:r>
      <w:r w:rsidR="00C24B90">
        <w:t xml:space="preserve"> i oce</w:t>
      </w:r>
      <w:r>
        <w:t>ny</w:t>
      </w:r>
      <w:bookmarkEnd w:id="210"/>
      <w:bookmarkEnd w:id="211"/>
      <w:bookmarkEnd w:id="212"/>
    </w:p>
    <w:p w14:paraId="521D2F55" w14:textId="77777777" w:rsidR="00171637" w:rsidRPr="00345713" w:rsidRDefault="00171637" w:rsidP="00E24A37">
      <w:pPr>
        <w:pStyle w:val="Nagwek3"/>
        <w:ind w:left="1134" w:hanging="1134"/>
      </w:pPr>
      <w:bookmarkStart w:id="213" w:name="_Toc441250884"/>
      <w:bookmarkStart w:id="214" w:name="_Toc530496978"/>
      <w:bookmarkStart w:id="215" w:name="_Toc30764079"/>
      <w:r>
        <w:t>II.27.1</w:t>
      </w:r>
      <w:r>
        <w:tab/>
        <w:t>Kontrole techniczne</w:t>
      </w:r>
      <w:r w:rsidR="00C24B90">
        <w:t xml:space="preserve"> i fin</w:t>
      </w:r>
      <w:r>
        <w:t>ansowe, audyty oraz oceny okresowe</w:t>
      </w:r>
      <w:r w:rsidR="00C24B90">
        <w:t xml:space="preserve"> i koń</w:t>
      </w:r>
      <w:r>
        <w:t>cowe</w:t>
      </w:r>
      <w:bookmarkEnd w:id="213"/>
      <w:bookmarkEnd w:id="214"/>
      <w:bookmarkEnd w:id="215"/>
    </w:p>
    <w:p w14:paraId="44ADBA80" w14:textId="77777777" w:rsidR="00171637" w:rsidRPr="00345713" w:rsidRDefault="00171637" w:rsidP="00770E86">
      <w:r>
        <w:t>Komisja może –</w:t>
      </w:r>
      <w:r w:rsidR="00C24B90">
        <w:t xml:space="preserve"> w okr</w:t>
      </w:r>
      <w:r>
        <w:t>esie realizacji działania lub</w:t>
      </w:r>
      <w:r w:rsidR="00C24B90">
        <w:t xml:space="preserve"> w póź</w:t>
      </w:r>
      <w:r>
        <w:t>niejszym terminie – przeprowadzić kontrole</w:t>
      </w:r>
      <w:r w:rsidR="00C24B90">
        <w:t xml:space="preserve"> i aud</w:t>
      </w:r>
      <w:r>
        <w:t>yty techniczne</w:t>
      </w:r>
      <w:r w:rsidR="00C24B90">
        <w:t xml:space="preserve"> i fin</w:t>
      </w:r>
      <w:r>
        <w:t>ansowe, aby ustalić, czy beneficjenci realizują działanie</w:t>
      </w:r>
      <w:r w:rsidR="00C24B90">
        <w:t xml:space="preserve"> w pra</w:t>
      </w:r>
      <w:r>
        <w:t>widłowy sposób oraz czy wywiązują się ze zobowiązań spoczywających na nich na mocy Umowy. Komisja może również przeprowadzić kontrolę wymaganej ustawowo dokumentacji beneficjentów na potrzeby okresowych ocen wysokości kwot ryczałtowych, kosztów jednostkowych lub kwot zryczałtowanych.</w:t>
      </w:r>
    </w:p>
    <w:p w14:paraId="57D8AC8C" w14:textId="77777777" w:rsidR="00171637" w:rsidRPr="00345713" w:rsidRDefault="00862F2B" w:rsidP="00770E86">
      <w:r>
        <w:t>Informacje</w:t>
      </w:r>
      <w:r w:rsidR="00C24B90">
        <w:t xml:space="preserve"> i dok</w:t>
      </w:r>
      <w:r>
        <w:t>umenty przekazywane</w:t>
      </w:r>
      <w:r w:rsidR="00C24B90">
        <w:t xml:space="preserve"> w tra</w:t>
      </w:r>
      <w:r>
        <w:t>kcie kontroli lub audytów muszą być traktowane jako materiały poufne.</w:t>
      </w:r>
    </w:p>
    <w:p w14:paraId="2E604DDA" w14:textId="77777777" w:rsidR="00171637" w:rsidRPr="00345713" w:rsidRDefault="00171637" w:rsidP="00770E86">
      <w:r>
        <w:t>Ponadto Komisja może przeprowadzić okresową lub końcową ocenę skutków działania, aby ustalić,</w:t>
      </w:r>
      <w:r w:rsidR="00C24B90">
        <w:t xml:space="preserve"> w jak</w:t>
      </w:r>
      <w:r>
        <w:t>im stopniu realizacja danego działania przyczyniła się do osiągnięcia celu wyznaczonego</w:t>
      </w:r>
      <w:r w:rsidR="00C24B90">
        <w:t xml:space="preserve"> w odp</w:t>
      </w:r>
      <w:r>
        <w:t>owiednim programie unijnym.</w:t>
      </w:r>
    </w:p>
    <w:p w14:paraId="3F97799D" w14:textId="77777777" w:rsidR="00171637" w:rsidRPr="00345713" w:rsidRDefault="00C37E9F" w:rsidP="00770E86">
      <w:r>
        <w:t>Kontrole, audyty lub oceny mogą być przeprowadzane bezpośrednio przez służby Komisji albo przez jakikolwiek inny podmiot zewnętrzny upoważniony do działania</w:t>
      </w:r>
      <w:r w:rsidR="00C24B90">
        <w:t xml:space="preserve"> w imi</w:t>
      </w:r>
      <w:r>
        <w:t>eniu Komisji.</w:t>
      </w:r>
    </w:p>
    <w:p w14:paraId="31215893" w14:textId="77777777" w:rsidR="00171637" w:rsidRPr="00345713" w:rsidRDefault="00824812" w:rsidP="00DA09E4">
      <w:r>
        <w:lastRenderedPageBreak/>
        <w:t>Komisja może wszcząć tego rodzaju kontrole, audyty lub oceny</w:t>
      </w:r>
      <w:r w:rsidR="00C24B90">
        <w:t xml:space="preserve"> w okr</w:t>
      </w:r>
      <w:r>
        <w:t>esie realizacji Umowy oraz</w:t>
      </w:r>
      <w:r w:rsidR="00C24B90">
        <w:t xml:space="preserve"> w ter</w:t>
      </w:r>
      <w:r>
        <w:t>minie do pięciu lat od daty płatności salda. Wspomniany okres zostaje skrócony do trzech lat, jeżeli maksymalna kwota dotacji nie przekracza 60 000 EUR.</w:t>
      </w:r>
    </w:p>
    <w:p w14:paraId="674FBF64" w14:textId="77777777" w:rsidR="0038300A" w:rsidRPr="004A4D5E" w:rsidRDefault="0038300A" w:rsidP="0038300A">
      <w:r>
        <w:t>Procedurę kontroli, audytu lub oceny uznaje się za wszczętą</w:t>
      </w:r>
      <w:r w:rsidR="00C24B90">
        <w:t xml:space="preserve"> z dni</w:t>
      </w:r>
      <w:r>
        <w:t>em otrzymania stosownego pisma wystosowanego przez Komisję,</w:t>
      </w:r>
      <w:r w:rsidR="00C24B90">
        <w:t xml:space="preserve"> w któ</w:t>
      </w:r>
      <w:r>
        <w:t xml:space="preserve">rym ogłasza się jej rozpoczęcie. </w:t>
      </w:r>
    </w:p>
    <w:p w14:paraId="796E3DCF" w14:textId="77777777" w:rsidR="00EC1C33" w:rsidRPr="00345713" w:rsidRDefault="00EC1C33" w:rsidP="00770E86">
      <w:r>
        <w:t>W przypadku wszczęcia audytu wobec podmiotu powiązanego</w:t>
      </w:r>
      <w:r w:rsidR="00C24B90">
        <w:t xml:space="preserve"> z ben</w:t>
      </w:r>
      <w:r>
        <w:t>eficjentem dany beneficjent musi poinformować podmiot</w:t>
      </w:r>
      <w:r w:rsidR="00C24B90">
        <w:t xml:space="preserve"> z nim</w:t>
      </w:r>
      <w:r>
        <w:t xml:space="preserve"> powiązany</w:t>
      </w:r>
      <w:r w:rsidR="00C24B90">
        <w:t xml:space="preserve"> o tym</w:t>
      </w:r>
      <w:r>
        <w:t xml:space="preserve"> fakcie.</w:t>
      </w:r>
    </w:p>
    <w:p w14:paraId="15463047" w14:textId="77777777" w:rsidR="00171637" w:rsidRPr="00345713" w:rsidRDefault="00171637" w:rsidP="00E24A37">
      <w:pPr>
        <w:pStyle w:val="Nagwek3"/>
        <w:ind w:left="1134" w:hanging="1134"/>
      </w:pPr>
      <w:bookmarkStart w:id="216" w:name="_Toc441250885"/>
      <w:bookmarkStart w:id="217" w:name="_Toc530496979"/>
      <w:bookmarkStart w:id="218" w:name="_Toc30764080"/>
      <w:r>
        <w:t xml:space="preserve">II.27.2 </w:t>
      </w:r>
      <w:r>
        <w:tab/>
        <w:t>Obowiązek przechowywania dokumentacji</w:t>
      </w:r>
      <w:bookmarkEnd w:id="216"/>
      <w:bookmarkEnd w:id="217"/>
      <w:bookmarkEnd w:id="218"/>
    </w:p>
    <w:p w14:paraId="40B6D3DB" w14:textId="77777777" w:rsidR="00BD628F" w:rsidRPr="004A4D5E" w:rsidRDefault="00BD628F" w:rsidP="00BD628F">
      <w:r>
        <w:t>Beneficjenci muszą przechowywać wszystkie oryginały dokumentów,</w:t>
      </w:r>
      <w:r w:rsidR="00C24B90">
        <w:t xml:space="preserve"> w szc</w:t>
      </w:r>
      <w:r>
        <w:t>zególności dowody rachunkowe</w:t>
      </w:r>
      <w:r w:rsidR="00C24B90">
        <w:t xml:space="preserve"> i pod</w:t>
      </w:r>
      <w:r>
        <w:t>atkowe,</w:t>
      </w:r>
      <w:r w:rsidR="00C24B90">
        <w:t xml:space="preserve"> w odp</w:t>
      </w:r>
      <w:r>
        <w:t>owiedniej formie,</w:t>
      </w:r>
      <w:r w:rsidR="00C24B90">
        <w:t xml:space="preserve"> w tym</w:t>
      </w:r>
      <w:r>
        <w:t xml:space="preserve"> również</w:t>
      </w:r>
      <w:r w:rsidR="00C24B90">
        <w:t xml:space="preserve"> w for</w:t>
      </w:r>
      <w:r>
        <w:t>mie elektronicznej, jeżeli jest to dopuszczalne zgodnie</w:t>
      </w:r>
      <w:r w:rsidR="00C24B90">
        <w:t xml:space="preserve"> z obo</w:t>
      </w:r>
      <w:r>
        <w:t>wiązującymi</w:t>
      </w:r>
      <w:r w:rsidR="00C24B90">
        <w:t xml:space="preserve"> w dan</w:t>
      </w:r>
      <w:r>
        <w:t>ym państwie przepisami</w:t>
      </w:r>
      <w:r w:rsidR="00C24B90">
        <w:t xml:space="preserve"> i jeż</w:t>
      </w:r>
      <w:r>
        <w:t>eli takie przechowywanie odbywa się zgodnie</w:t>
      </w:r>
      <w:r w:rsidR="00C24B90">
        <w:t xml:space="preserve"> z war</w:t>
      </w:r>
      <w:r>
        <w:t>unkami określonymi</w:t>
      </w:r>
      <w:r w:rsidR="00C24B90">
        <w:t xml:space="preserve"> w tyc</w:t>
      </w:r>
      <w:r>
        <w:t xml:space="preserve">h przepisach, przez okres pięciu lat od dnia płatności salda. </w:t>
      </w:r>
    </w:p>
    <w:p w14:paraId="40EA5E03" w14:textId="77777777" w:rsidR="00171637" w:rsidRPr="00345713" w:rsidRDefault="00171637" w:rsidP="00770E86">
      <w:r>
        <w:t>Wspomniany okres zostaje skrócony do trzech lat, jeżeli maksymalna kwota dotacji nie przekracza 60 000 EUR.</w:t>
      </w:r>
    </w:p>
    <w:p w14:paraId="7A2570AE" w14:textId="77777777" w:rsidR="00171637" w:rsidRPr="00345713" w:rsidRDefault="00BD5332" w:rsidP="00770E86">
      <w:r>
        <w:t>Terminy wyznaczone</w:t>
      </w:r>
      <w:r w:rsidR="00C24B90">
        <w:t xml:space="preserve"> w aka</w:t>
      </w:r>
      <w:r>
        <w:t>picie pierwszym</w:t>
      </w:r>
      <w:r w:rsidR="00C24B90">
        <w:t xml:space="preserve"> i dru</w:t>
      </w:r>
      <w:r>
        <w:t>gim są dłuższe, jeżeli dotacja jest przedmiotem toczącego się postępowania audytowego, odwoławczego lub spornego lub dochodzenia roszczeń,</w:t>
      </w:r>
      <w:r w:rsidR="00C24B90">
        <w:t xml:space="preserve"> w tym</w:t>
      </w:r>
      <w:r>
        <w:t xml:space="preserve"> również</w:t>
      </w:r>
      <w:r w:rsidR="00C24B90">
        <w:t xml:space="preserve"> w prz</w:t>
      </w:r>
      <w:r>
        <w:t>ypadkach,</w:t>
      </w:r>
      <w:r w:rsidR="00C24B90">
        <w:t xml:space="preserve"> o któ</w:t>
      </w:r>
      <w:r>
        <w:t>rych mowa</w:t>
      </w:r>
      <w:r w:rsidR="00C24B90">
        <w:t xml:space="preserve"> w art</w:t>
      </w:r>
      <w:r>
        <w:t>. II.27.7</w:t>
      </w:r>
      <w:r w:rsidR="00C24B90">
        <w:t>. W tak</w:t>
      </w:r>
      <w:r>
        <w:t>iej sytuacji beneficjenci muszą przechowywać dokumenty do chwili zakończenia postępowań audytowych, odwoławczych lub spornych lub do chwili zakończenia dochodzenia roszczeń.</w:t>
      </w:r>
    </w:p>
    <w:p w14:paraId="0960AA04" w14:textId="77777777" w:rsidR="00171637" w:rsidRPr="00345713" w:rsidRDefault="00171637" w:rsidP="00E24A37">
      <w:pPr>
        <w:pStyle w:val="Nagwek3"/>
        <w:ind w:left="1134" w:hanging="1134"/>
      </w:pPr>
      <w:bookmarkStart w:id="219" w:name="_Toc441250886"/>
      <w:bookmarkStart w:id="220" w:name="_Toc530496980"/>
      <w:bookmarkStart w:id="221" w:name="_Toc30764081"/>
      <w:r>
        <w:t xml:space="preserve">II.27.3 </w:t>
      </w:r>
      <w:r>
        <w:tab/>
        <w:t>Obowiązek przekazania informacji</w:t>
      </w:r>
      <w:bookmarkEnd w:id="219"/>
      <w:bookmarkEnd w:id="220"/>
      <w:bookmarkEnd w:id="221"/>
    </w:p>
    <w:p w14:paraId="5C671705" w14:textId="77777777" w:rsidR="00171637" w:rsidRPr="00345713" w:rsidRDefault="00171637" w:rsidP="00770E86">
      <w:r>
        <w:t>W przypadku wszczęcia kontroli, audytu lub oceny przed dokonaniem płatności salda koordynator musi przekazać wszelkie informacje, uwzględniając informacje</w:t>
      </w:r>
      <w:r w:rsidR="00C24B90">
        <w:t xml:space="preserve"> w for</w:t>
      </w:r>
      <w:r>
        <w:t>mie elektronicznej,</w:t>
      </w:r>
      <w:r w:rsidR="00C24B90">
        <w:t xml:space="preserve"> o któ</w:t>
      </w:r>
      <w:r>
        <w:t>re zwróciła się Komisja lub dowolny inny organ zewnętrzny upoważniony do tego przez Komisję</w:t>
      </w:r>
      <w:r w:rsidR="00C24B90">
        <w:t>. W sto</w:t>
      </w:r>
      <w:r>
        <w:t>sownych przypadkach Komisja może zażądać, aby beneficjent bezpośrednio przekazał takie informacje.</w:t>
      </w:r>
    </w:p>
    <w:p w14:paraId="79EB042A" w14:textId="77777777" w:rsidR="00171637" w:rsidRPr="00345713" w:rsidRDefault="00171637" w:rsidP="00770E86">
      <w:r>
        <w:t>W przypadku wszczęcia kontroli lub audytu po wypłacie salda informacje,</w:t>
      </w:r>
      <w:r w:rsidR="00C24B90">
        <w:t xml:space="preserve"> o któ</w:t>
      </w:r>
      <w:r>
        <w:t>rych mowa</w:t>
      </w:r>
      <w:r w:rsidR="00C24B90">
        <w:t xml:space="preserve"> w pop</w:t>
      </w:r>
      <w:r>
        <w:t>rzednim akapicie, muszą zostać przekazane przez odpowiedniego beneficjenta.</w:t>
      </w:r>
    </w:p>
    <w:p w14:paraId="480BA7EF" w14:textId="77777777" w:rsidR="002B10B6" w:rsidRPr="00345713" w:rsidRDefault="002B10B6" w:rsidP="00770E86">
      <w:r>
        <w:t>Jeżeli dany beneficjent nie wywiąże się ze zobowiązań ustanowionych</w:t>
      </w:r>
      <w:r w:rsidR="00C24B90">
        <w:t xml:space="preserve"> w aka</w:t>
      </w:r>
      <w:r>
        <w:t>picie pierwszym</w:t>
      </w:r>
      <w:r w:rsidR="00C24B90">
        <w:t xml:space="preserve"> i dru</w:t>
      </w:r>
      <w:r>
        <w:t>gim, Komisja może uznać:</w:t>
      </w:r>
    </w:p>
    <w:p w14:paraId="02364C3A" w14:textId="77777777" w:rsidR="002B10B6" w:rsidRPr="00345713" w:rsidRDefault="002B10B6" w:rsidP="003A2A37">
      <w:pPr>
        <w:numPr>
          <w:ilvl w:val="0"/>
          <w:numId w:val="43"/>
        </w:numPr>
      </w:pPr>
      <w:r>
        <w:t>wszelkie koszty niewystarczająco uzasadnione informacjami przekazanymi przez beneficjenta za niekwalifikowalne;</w:t>
      </w:r>
    </w:p>
    <w:p w14:paraId="7816FCB9" w14:textId="77777777" w:rsidR="002B10B6" w:rsidRPr="00345713" w:rsidRDefault="002B10B6" w:rsidP="003A2A37">
      <w:pPr>
        <w:numPr>
          <w:ilvl w:val="0"/>
          <w:numId w:val="43"/>
        </w:numPr>
      </w:pPr>
      <w:r>
        <w:t>wszelkie finansowanie niepowiązane</w:t>
      </w:r>
      <w:r w:rsidR="00C24B90">
        <w:t xml:space="preserve"> z kos</w:t>
      </w:r>
      <w:r>
        <w:t>ztami, wkład jednostkowy, wkład</w:t>
      </w:r>
      <w:r w:rsidR="00C24B90">
        <w:t xml:space="preserve"> w for</w:t>
      </w:r>
      <w:r>
        <w:t>mie kwoty ryczałtowej lub wkład zryczałtowany niewystarczająco uzasadnione informacjami przekazanymi przez beneficjenta za nienależne.</w:t>
      </w:r>
    </w:p>
    <w:p w14:paraId="24EA3322" w14:textId="77777777" w:rsidR="00171637" w:rsidRPr="00345713" w:rsidRDefault="00171637" w:rsidP="00E24A37">
      <w:pPr>
        <w:pStyle w:val="Nagwek3"/>
        <w:ind w:left="1134" w:hanging="1134"/>
      </w:pPr>
      <w:bookmarkStart w:id="222" w:name="_Toc441250887"/>
      <w:bookmarkStart w:id="223" w:name="_Toc530496981"/>
      <w:bookmarkStart w:id="224" w:name="_Toc30764082"/>
      <w:r>
        <w:t>II.27.4</w:t>
      </w:r>
      <w:r>
        <w:tab/>
        <w:t>Wizyty na miejscu</w:t>
      </w:r>
      <w:bookmarkEnd w:id="222"/>
      <w:bookmarkEnd w:id="223"/>
      <w:bookmarkEnd w:id="224"/>
    </w:p>
    <w:p w14:paraId="47B85560" w14:textId="77777777" w:rsidR="00171637" w:rsidRPr="00345713" w:rsidRDefault="00171637" w:rsidP="00770E86">
      <w:r>
        <w:t>W trakcie wizyty na miejscu beneficjenci muszą zapewnić służbom Komisji oraz upoważnionym przez Komisję pracownikom zewnętrznym dostęp do lokali</w:t>
      </w:r>
      <w:r w:rsidR="00C24B90">
        <w:t xml:space="preserve"> i pom</w:t>
      </w:r>
      <w:r>
        <w:t>ieszczeń,</w:t>
      </w:r>
      <w:r w:rsidR="00C24B90">
        <w:t xml:space="preserve"> </w:t>
      </w:r>
      <w:r w:rsidR="00C24B90">
        <w:lastRenderedPageBreak/>
        <w:t>w któ</w:t>
      </w:r>
      <w:r>
        <w:t>rych dane działanie jest lub było realizowane,</w:t>
      </w:r>
      <w:r w:rsidR="00C24B90">
        <w:t xml:space="preserve"> a tak</w:t>
      </w:r>
      <w:r>
        <w:t>że do wszelkich niezbędnych informacji,</w:t>
      </w:r>
      <w:r w:rsidR="00C24B90">
        <w:t xml:space="preserve"> w tym</w:t>
      </w:r>
      <w:r>
        <w:t xml:space="preserve"> informacji</w:t>
      </w:r>
      <w:r w:rsidR="00C24B90">
        <w:t xml:space="preserve"> w for</w:t>
      </w:r>
      <w:r>
        <w:t>mie elektronicznej.</w:t>
      </w:r>
    </w:p>
    <w:p w14:paraId="05B01C4B" w14:textId="77777777" w:rsidR="00171637" w:rsidRPr="00345713" w:rsidRDefault="00171637" w:rsidP="00770E86">
      <w:r>
        <w:t>Beneficjenci muszą zapewnić łatwy dostęp do stosownych informacji</w:t>
      </w:r>
      <w:r w:rsidR="00C24B90">
        <w:t xml:space="preserve"> w chw</w:t>
      </w:r>
      <w:r>
        <w:t>ili przeprowadzenia wizyty na miejscu oraz zagwarantować przekazanie żądanych informacji</w:t>
      </w:r>
      <w:r w:rsidR="00C24B90">
        <w:t xml:space="preserve"> w odp</w:t>
      </w:r>
      <w:r>
        <w:t>owiedniej formie.</w:t>
      </w:r>
    </w:p>
    <w:p w14:paraId="503A299C" w14:textId="77777777" w:rsidR="005E6F94" w:rsidRPr="00C24B90" w:rsidRDefault="005E6F94" w:rsidP="00770E86">
      <w:r>
        <w:t>Jeżeli dany beneficjent odmówi udostępnienia lokali, pomieszczeń</w:t>
      </w:r>
      <w:r w:rsidR="00C24B90">
        <w:t xml:space="preserve"> i inf</w:t>
      </w:r>
      <w:r>
        <w:t>ormacji zgodnie</w:t>
      </w:r>
      <w:r w:rsidR="00C24B90">
        <w:t xml:space="preserve"> z pos</w:t>
      </w:r>
      <w:r>
        <w:t>tanowieniami akapitu pierwszego</w:t>
      </w:r>
      <w:r w:rsidR="00C24B90">
        <w:t xml:space="preserve"> i dru</w:t>
      </w:r>
      <w:r>
        <w:t>giego, Komisja może uznać:</w:t>
      </w:r>
    </w:p>
    <w:p w14:paraId="625B20A2" w14:textId="77777777" w:rsidR="005E6F94" w:rsidRPr="00C24B90" w:rsidRDefault="000612E1" w:rsidP="003A2A37">
      <w:pPr>
        <w:numPr>
          <w:ilvl w:val="1"/>
          <w:numId w:val="80"/>
        </w:numPr>
        <w:ind w:left="709" w:hanging="283"/>
      </w:pPr>
      <w:r w:rsidRPr="00C24B90">
        <w:t>w</w:t>
      </w:r>
      <w:r>
        <w:t>szelkie koszty niewystarczająco uzasadnione informacjami przekazanymi przez beneficjenta za niekwalifikowalne;</w:t>
      </w:r>
    </w:p>
    <w:p w14:paraId="5CFFD452" w14:textId="77777777" w:rsidR="005E6F94" w:rsidRPr="00345713" w:rsidRDefault="000612E1" w:rsidP="003A2A37">
      <w:pPr>
        <w:numPr>
          <w:ilvl w:val="1"/>
          <w:numId w:val="80"/>
        </w:numPr>
        <w:ind w:left="709" w:hanging="283"/>
      </w:pPr>
      <w:r w:rsidRPr="00C24B90">
        <w:t>w</w:t>
      </w:r>
      <w:r>
        <w:t>szelkie finansowanie niepowiązane</w:t>
      </w:r>
      <w:r w:rsidR="00C24B90">
        <w:t xml:space="preserve"> z kos</w:t>
      </w:r>
      <w:r>
        <w:t>ztami, wkład jednostkowy, wkład</w:t>
      </w:r>
      <w:r w:rsidR="00C24B90">
        <w:t xml:space="preserve"> w for</w:t>
      </w:r>
      <w:r>
        <w:t>mie kwoty ryczałtowej lub wkład zryczałtowany niewystarczająco uzasadnione informacjami przekazanymi przez beneficjenta za nienależne.</w:t>
      </w:r>
    </w:p>
    <w:p w14:paraId="5D813616" w14:textId="77777777" w:rsidR="00171637" w:rsidRPr="00345713" w:rsidRDefault="00171637" w:rsidP="00E24A37">
      <w:pPr>
        <w:pStyle w:val="Nagwek3"/>
        <w:ind w:left="1134" w:hanging="1134"/>
      </w:pPr>
      <w:bookmarkStart w:id="225" w:name="_Toc441250888"/>
      <w:bookmarkStart w:id="226" w:name="_Toc530496982"/>
      <w:bookmarkStart w:id="227" w:name="_Toc30764083"/>
      <w:r>
        <w:t>II.27.5</w:t>
      </w:r>
      <w:r>
        <w:tab/>
        <w:t>Kontradyktoryjne postępowanie audytowe</w:t>
      </w:r>
      <w:bookmarkEnd w:id="225"/>
      <w:bookmarkEnd w:id="226"/>
      <w:bookmarkEnd w:id="227"/>
    </w:p>
    <w:p w14:paraId="4104E433" w14:textId="77777777" w:rsidR="00171637" w:rsidRPr="00345713" w:rsidRDefault="00171637" w:rsidP="00770E86">
      <w:r>
        <w:t>Na podstawie ustaleń dokonanych podczas audytu należy sporządzić sprawozdanie tymczasowe („projekt sprawozdania</w:t>
      </w:r>
      <w:r w:rsidR="00C24B90">
        <w:t xml:space="preserve"> z aud</w:t>
      </w:r>
      <w:r>
        <w:t xml:space="preserve">ytu”). Komisja lub jej upoważniony przedstawiciel musi przesłać sprawozdanie danemu beneficjentowi, który </w:t>
      </w:r>
      <w:r w:rsidRPr="00C24B90">
        <w:t>ma</w:t>
      </w:r>
      <w:r w:rsidR="00C24B90" w:rsidRPr="00C24B90">
        <w:t> </w:t>
      </w:r>
      <w:r w:rsidRPr="00C24B90">
        <w:t>3</w:t>
      </w:r>
      <w:r>
        <w:t>0 dni kalendarzowych na przedstawienie swoich uwag, licząc od dnia otrzymania sprawozdania. Sprawozdanie końcowe („końcowe sprawozdanie</w:t>
      </w:r>
      <w:r w:rsidR="00C24B90">
        <w:t xml:space="preserve"> z aud</w:t>
      </w:r>
      <w:r>
        <w:t>ytu”) musi zostać przesłane danemu beneficjentowi</w:t>
      </w:r>
      <w:r w:rsidR="00C24B90">
        <w:t xml:space="preserve"> w ter</w:t>
      </w:r>
      <w:r>
        <w:t>minie 60 dni kalendarzowych od dnia upływu terminu na przedstawienie uwag.</w:t>
      </w:r>
    </w:p>
    <w:p w14:paraId="73B35C2E" w14:textId="77777777" w:rsidR="00171637" w:rsidRPr="00345713" w:rsidRDefault="00171637" w:rsidP="00E24A37">
      <w:pPr>
        <w:pStyle w:val="Nagwek3"/>
        <w:ind w:left="1134" w:hanging="1134"/>
      </w:pPr>
      <w:bookmarkStart w:id="228" w:name="_Toc441250889"/>
      <w:bookmarkStart w:id="229" w:name="_Toc530496983"/>
      <w:bookmarkStart w:id="230" w:name="_Toc30764084"/>
      <w:r>
        <w:t xml:space="preserve">II.27.6 </w:t>
      </w:r>
      <w:r>
        <w:tab/>
        <w:t>Skutki ustaleń</w:t>
      </w:r>
      <w:r w:rsidR="00C24B90">
        <w:t xml:space="preserve"> z aud</w:t>
      </w:r>
      <w:r>
        <w:t>ytu</w:t>
      </w:r>
      <w:bookmarkEnd w:id="228"/>
      <w:bookmarkEnd w:id="229"/>
      <w:bookmarkEnd w:id="230"/>
    </w:p>
    <w:p w14:paraId="42E440E1" w14:textId="77777777" w:rsidR="00171637" w:rsidRPr="00345713" w:rsidRDefault="00171637" w:rsidP="00770E86">
      <w:r>
        <w:t>W oparciu</w:t>
      </w:r>
      <w:r w:rsidR="00C24B90">
        <w:t xml:space="preserve"> o ost</w:t>
      </w:r>
      <w:r>
        <w:t>ateczne ustalenia</w:t>
      </w:r>
      <w:r w:rsidR="00C24B90">
        <w:t xml:space="preserve"> z aud</w:t>
      </w:r>
      <w:r>
        <w:t>ytu Komisja może wprowadzić środki, które uzna za stosowne, tj. odzyskać całość lub część dokonanych płatności</w:t>
      </w:r>
      <w:r w:rsidR="00C24B90">
        <w:t xml:space="preserve"> w mom</w:t>
      </w:r>
      <w:r>
        <w:t>encie płatności salda lub po dokonaniu płatności salda zgodnie</w:t>
      </w:r>
      <w:r w:rsidR="00C24B90">
        <w:t xml:space="preserve"> z art</w:t>
      </w:r>
      <w:r>
        <w:t>. II.26.</w:t>
      </w:r>
    </w:p>
    <w:p w14:paraId="4999CE6E" w14:textId="77777777" w:rsidR="00171637" w:rsidRPr="00345713" w:rsidRDefault="00171637" w:rsidP="00770E86">
      <w:r>
        <w:t>W przypadku ostatecznych ustaleń</w:t>
      </w:r>
      <w:r w:rsidR="00C24B90">
        <w:t xml:space="preserve"> z aud</w:t>
      </w:r>
      <w:r>
        <w:t>ytu przeprowadzonego po wypłacie salda kwota podlegająca odzyskaniu odpowiada różnicy między zmienioną ostateczną kwotą dotacji obliczoną zgodnie</w:t>
      </w:r>
      <w:r w:rsidR="00C24B90">
        <w:t xml:space="preserve"> z art</w:t>
      </w:r>
      <w:r>
        <w:t>. II.25</w:t>
      </w:r>
      <w:r w:rsidR="00C24B90">
        <w:t xml:space="preserve"> a łąc</w:t>
      </w:r>
      <w:r>
        <w:t>zną kwotą wypłaconą beneficjentom zgodnie</w:t>
      </w:r>
      <w:r w:rsidR="00C24B90">
        <w:t xml:space="preserve"> z Umo</w:t>
      </w:r>
      <w:r>
        <w:t>wą na realizację działania.</w:t>
      </w:r>
    </w:p>
    <w:p w14:paraId="2C9131DF" w14:textId="77777777" w:rsidR="00254C3C" w:rsidRPr="00C24B90" w:rsidRDefault="00254C3C" w:rsidP="00E24A37">
      <w:pPr>
        <w:pStyle w:val="Nagwek3"/>
        <w:ind w:left="1134" w:hanging="1134"/>
      </w:pPr>
      <w:bookmarkStart w:id="231" w:name="_Toc441250890"/>
      <w:bookmarkStart w:id="232" w:name="_Toc530496984"/>
      <w:bookmarkStart w:id="233" w:name="_Toc30764085"/>
      <w:r>
        <w:t xml:space="preserve">II.27.7 </w:t>
      </w:r>
      <w:r>
        <w:tab/>
        <w:t>Korekta systemowych lub powtarzających się nieprawidłowości, nadużyć finansowych lub naruszeń obowiązkó</w:t>
      </w:r>
      <w:r w:rsidRPr="00C24B90">
        <w:t>w</w:t>
      </w:r>
      <w:bookmarkEnd w:id="231"/>
      <w:bookmarkEnd w:id="232"/>
      <w:bookmarkEnd w:id="233"/>
      <w:r w:rsidR="00C24B90" w:rsidRPr="00C24B90">
        <w:t xml:space="preserve"> </w:t>
      </w:r>
    </w:p>
    <w:p w14:paraId="5932FEAB" w14:textId="77777777" w:rsidR="00B051E5" w:rsidRPr="00345713" w:rsidRDefault="0005787B" w:rsidP="00770E86">
      <w:r>
        <w:rPr>
          <w:b/>
        </w:rPr>
        <w:t>II.27.7.1</w:t>
      </w:r>
      <w:r>
        <w:t xml:space="preserve"> </w:t>
      </w:r>
      <w:r>
        <w:tab/>
        <w:t>Komisja może przenieść ustalenia</w:t>
      </w:r>
      <w:r w:rsidR="00C24B90">
        <w:t xml:space="preserve"> z aud</w:t>
      </w:r>
      <w:r>
        <w:t>ytu przeprowadzonego</w:t>
      </w:r>
      <w:r w:rsidR="00C24B90">
        <w:t xml:space="preserve"> w odn</w:t>
      </w:r>
      <w:r>
        <w:t>iesieniu do innych dotacji na przedmiotową dotację, jeżeli:</w:t>
      </w:r>
    </w:p>
    <w:p w14:paraId="1460CAFA" w14:textId="77777777" w:rsidR="00B051E5" w:rsidRPr="002C6D29" w:rsidRDefault="00B051E5" w:rsidP="003A2A37">
      <w:pPr>
        <w:numPr>
          <w:ilvl w:val="0"/>
          <w:numId w:val="64"/>
        </w:numPr>
      </w:pPr>
      <w:r>
        <w:t>okaże się, że dany beneficjent dopuścił się systemowych lub powtarzających się nieprawidłowości, nadużyć finansowych lub że naruszył obowiązki spoczywające na nim</w:t>
      </w:r>
      <w:r w:rsidR="00C24B90">
        <w:t xml:space="preserve"> w zwi</w:t>
      </w:r>
      <w:r>
        <w:t>ązku</w:t>
      </w:r>
      <w:r w:rsidR="00C24B90">
        <w:t xml:space="preserve"> z inn</w:t>
      </w:r>
      <w:r>
        <w:t xml:space="preserve">ymi dotacjami UE lub </w:t>
      </w:r>
      <w:proofErr w:type="spellStart"/>
      <w:r>
        <w:t>Euratom</w:t>
      </w:r>
      <w:proofErr w:type="spellEnd"/>
      <w:r>
        <w:t>, których udzielono mu na podobnych warunkach,</w:t>
      </w:r>
      <w:r w:rsidR="00C24B90">
        <w:t xml:space="preserve"> a wsp</w:t>
      </w:r>
      <w:r>
        <w:t>omniane nieprawidłowości, nadużycia finansowe lub naruszenia obowiązków wywierają istotny wpływ na przedmiotową dotację; oraz</w:t>
      </w:r>
    </w:p>
    <w:p w14:paraId="60579F07" w14:textId="77777777" w:rsidR="0041243F" w:rsidRPr="002C6D29" w:rsidRDefault="00B051E5" w:rsidP="003A2A37">
      <w:pPr>
        <w:numPr>
          <w:ilvl w:val="0"/>
          <w:numId w:val="64"/>
        </w:numPr>
      </w:pPr>
      <w:r>
        <w:t>ostateczne ustalenia</w:t>
      </w:r>
      <w:r w:rsidR="00C24B90">
        <w:t xml:space="preserve"> z aud</w:t>
      </w:r>
      <w:r>
        <w:t>ytu zostaną przekazane odpowiedniemu beneficjentowi za pośrednictwem formalnego zawiadomienia wraz</w:t>
      </w:r>
      <w:r w:rsidR="00C24B90">
        <w:t xml:space="preserve"> z wyk</w:t>
      </w:r>
      <w:r>
        <w:t>azem dotacji, na które ustalenia te wywierają wpływ,</w:t>
      </w:r>
      <w:r w:rsidR="00C24B90">
        <w:t xml:space="preserve"> w ter</w:t>
      </w:r>
      <w:r>
        <w:t>minie wyznaczonym</w:t>
      </w:r>
      <w:r w:rsidR="00C24B90">
        <w:t xml:space="preserve"> w art</w:t>
      </w:r>
      <w:r>
        <w:t>. II.27.1.</w:t>
      </w:r>
    </w:p>
    <w:p w14:paraId="1C7CB0F4" w14:textId="77777777" w:rsidR="00D12691" w:rsidRPr="00345713" w:rsidRDefault="003F225B" w:rsidP="002C30C1">
      <w:r>
        <w:lastRenderedPageBreak/>
        <w:t>Przeniesienie ustaleń może doprowadzić do:</w:t>
      </w:r>
    </w:p>
    <w:p w14:paraId="769D3935" w14:textId="77777777" w:rsidR="00D12691" w:rsidRPr="00345713" w:rsidRDefault="003F225B" w:rsidP="003A2A37">
      <w:pPr>
        <w:numPr>
          <w:ilvl w:val="0"/>
          <w:numId w:val="65"/>
        </w:numPr>
      </w:pPr>
      <w:r>
        <w:t>odrzucenia kosztów jako niekwalifikowalnych;</w:t>
      </w:r>
    </w:p>
    <w:p w14:paraId="08A8ABC8" w14:textId="77777777" w:rsidR="00D12691" w:rsidRPr="00345713" w:rsidRDefault="003F225B" w:rsidP="003A2A37">
      <w:pPr>
        <w:numPr>
          <w:ilvl w:val="0"/>
          <w:numId w:val="65"/>
        </w:numPr>
      </w:pPr>
      <w:r>
        <w:t>obniżenia kwoty dotacji zgodnie</w:t>
      </w:r>
      <w:r w:rsidR="00C24B90">
        <w:t xml:space="preserve"> z art</w:t>
      </w:r>
      <w:r>
        <w:t>. II.25.4;</w:t>
      </w:r>
    </w:p>
    <w:p w14:paraId="49D2BF25" w14:textId="77777777" w:rsidR="00D12691" w:rsidRPr="00345713" w:rsidRDefault="003F225B" w:rsidP="003A2A37">
      <w:pPr>
        <w:numPr>
          <w:ilvl w:val="0"/>
          <w:numId w:val="65"/>
        </w:numPr>
      </w:pPr>
      <w:r>
        <w:t>odzyskania nienależnie wypłaconych kwot zgodnie</w:t>
      </w:r>
      <w:r w:rsidR="00C24B90">
        <w:t xml:space="preserve"> z art</w:t>
      </w:r>
      <w:r>
        <w:t>. II.26;</w:t>
      </w:r>
    </w:p>
    <w:p w14:paraId="34FBBDB7" w14:textId="77777777" w:rsidR="00D12691" w:rsidRPr="00345713" w:rsidRDefault="003F225B" w:rsidP="003A2A37">
      <w:pPr>
        <w:numPr>
          <w:ilvl w:val="0"/>
          <w:numId w:val="65"/>
        </w:numPr>
      </w:pPr>
      <w:r>
        <w:t>zawieszenia płatności zgodnie</w:t>
      </w:r>
      <w:r w:rsidR="00C24B90">
        <w:t xml:space="preserve"> z art</w:t>
      </w:r>
      <w:r>
        <w:t>. II.24.1;</w:t>
      </w:r>
    </w:p>
    <w:p w14:paraId="38A9F610" w14:textId="77777777" w:rsidR="00D12691" w:rsidRPr="00345713" w:rsidRDefault="003F225B" w:rsidP="003A2A37">
      <w:pPr>
        <w:numPr>
          <w:ilvl w:val="0"/>
          <w:numId w:val="65"/>
        </w:numPr>
      </w:pPr>
      <w:r>
        <w:t>zawieszenia realizacji działania zgodnie</w:t>
      </w:r>
      <w:r w:rsidR="00C24B90">
        <w:t xml:space="preserve"> z art</w:t>
      </w:r>
      <w:r>
        <w:t>. II.16.2;</w:t>
      </w:r>
    </w:p>
    <w:p w14:paraId="6B51A2D2" w14:textId="77777777" w:rsidR="003F225B" w:rsidRPr="00345713" w:rsidRDefault="003F225B" w:rsidP="003A2A37">
      <w:pPr>
        <w:numPr>
          <w:ilvl w:val="0"/>
          <w:numId w:val="65"/>
        </w:numPr>
      </w:pPr>
      <w:r>
        <w:t>wypowiedzenia zgodnie</w:t>
      </w:r>
      <w:r w:rsidR="00C24B90">
        <w:t xml:space="preserve"> z art</w:t>
      </w:r>
      <w:r>
        <w:t>. II.17.3.</w:t>
      </w:r>
    </w:p>
    <w:p w14:paraId="35E0386B" w14:textId="77777777" w:rsidR="00B051E5" w:rsidRPr="00345713" w:rsidRDefault="0005787B" w:rsidP="00E24A37">
      <w:pPr>
        <w:ind w:left="1418" w:hanging="1418"/>
      </w:pPr>
      <w:r>
        <w:rPr>
          <w:b/>
        </w:rPr>
        <w:t>II.27.7.2</w:t>
      </w:r>
      <w:r>
        <w:t xml:space="preserve"> </w:t>
      </w:r>
      <w:r>
        <w:tab/>
        <w:t>Komisja musi przekazać danemu beneficjentowi formalne zawiadomienie,</w:t>
      </w:r>
      <w:r w:rsidR="00C24B90">
        <w:t xml:space="preserve"> w któ</w:t>
      </w:r>
      <w:r>
        <w:t>rym poinformuje go</w:t>
      </w:r>
      <w:r w:rsidR="00C24B90">
        <w:t xml:space="preserve"> o wyk</w:t>
      </w:r>
      <w:r>
        <w:t>ryciu systemowych lub powtarzających się nieprawidłowości, nadużyć finansowych lub przypadków naruszenia obowiązków oraz</w:t>
      </w:r>
      <w:r w:rsidR="00C24B90">
        <w:t xml:space="preserve"> o zam</w:t>
      </w:r>
      <w:r>
        <w:t>iarze przeniesienia ustaleń</w:t>
      </w:r>
      <w:r w:rsidR="00C24B90">
        <w:t xml:space="preserve"> z aud</w:t>
      </w:r>
      <w:r>
        <w:t>ytu, wraz</w:t>
      </w:r>
      <w:r w:rsidR="00C24B90">
        <w:t xml:space="preserve"> z wyk</w:t>
      </w:r>
      <w:r>
        <w:t>azem dotacji, na które ustalenia</w:t>
      </w:r>
      <w:r w:rsidR="00C24B90">
        <w:t xml:space="preserve"> z aud</w:t>
      </w:r>
      <w:r>
        <w:t>ytu wywierają wpływ.</w:t>
      </w:r>
    </w:p>
    <w:p w14:paraId="75E12A86" w14:textId="77777777" w:rsidR="00DF6361" w:rsidRPr="00345713" w:rsidRDefault="00B051E5" w:rsidP="003A2A37">
      <w:pPr>
        <w:numPr>
          <w:ilvl w:val="0"/>
          <w:numId w:val="66"/>
        </w:numPr>
        <w:ind w:left="567" w:hanging="567"/>
      </w:pPr>
      <w:r>
        <w:t>Jeżeli ustalenia dotyczą kwalifikowalności kosztów, stosuje się następującą procedurę:</w:t>
      </w:r>
    </w:p>
    <w:p w14:paraId="5A2945B9" w14:textId="77777777" w:rsidR="00B051E5" w:rsidRPr="00345713" w:rsidRDefault="00DF6361" w:rsidP="002C30C1">
      <w:pPr>
        <w:rPr>
          <w:szCs w:val="24"/>
        </w:rPr>
      </w:pPr>
      <w:r>
        <w:rPr>
          <w:b/>
        </w:rPr>
        <w:t>etap 1</w:t>
      </w:r>
      <w:r>
        <w:t xml:space="preserve"> – formalne zawiadomienie musi zawierać:</w:t>
      </w:r>
    </w:p>
    <w:p w14:paraId="7C64AB89" w14:textId="77777777" w:rsidR="00B051E5" w:rsidRPr="00345713" w:rsidRDefault="00B051E5" w:rsidP="003A2A37">
      <w:pPr>
        <w:numPr>
          <w:ilvl w:val="0"/>
          <w:numId w:val="67"/>
        </w:numPr>
      </w:pPr>
      <w:r>
        <w:t>wezwanie do przedstawienia uwag do wykazu dotacji, na które ustalenia</w:t>
      </w:r>
      <w:r w:rsidR="00C24B90">
        <w:t xml:space="preserve"> z aud</w:t>
      </w:r>
      <w:r>
        <w:t>ytu wywierają wpływ;</w:t>
      </w:r>
    </w:p>
    <w:p w14:paraId="3D15A519" w14:textId="77777777" w:rsidR="00B051E5" w:rsidRPr="00C24B90" w:rsidRDefault="00FB18E8" w:rsidP="003A2A37">
      <w:pPr>
        <w:numPr>
          <w:ilvl w:val="0"/>
          <w:numId w:val="67"/>
        </w:numPr>
      </w:pPr>
      <w:r>
        <w:t>wezwanie do przedstawienia zmienionych sprawozdań finansowych dotyczących wszystkich dotacji, na które ustalenia</w:t>
      </w:r>
      <w:r w:rsidR="00C24B90">
        <w:t xml:space="preserve"> z aud</w:t>
      </w:r>
      <w:r>
        <w:t>ytu wywierają wpływ;</w:t>
      </w:r>
    </w:p>
    <w:p w14:paraId="026B9384" w14:textId="77777777" w:rsidR="008305EF" w:rsidRPr="00345713" w:rsidRDefault="000612E1" w:rsidP="003A2A37">
      <w:pPr>
        <w:numPr>
          <w:ilvl w:val="0"/>
          <w:numId w:val="67"/>
        </w:numPr>
      </w:pPr>
      <w:r w:rsidRPr="00C24B90">
        <w:t>w</w:t>
      </w:r>
      <w:r>
        <w:t xml:space="preserve"> stosownych przypadkach stopę korekty na potrzeby ekstrapolacji ustaloną przez Komisję</w:t>
      </w:r>
      <w:r w:rsidR="00C24B90">
        <w:t xml:space="preserve"> w cel</w:t>
      </w:r>
      <w:r>
        <w:t>u obliczenia kwot, które zostaną odrzucone</w:t>
      </w:r>
      <w:r w:rsidR="00C24B90">
        <w:t xml:space="preserve"> z uwa</w:t>
      </w:r>
      <w:r>
        <w:t>gi na wystąpienie systemowych lub powtarzających się nieprawidłowości, nadużyć finansowych lub przypadków naruszenia obowiązków, jeżeli dany beneficjent:</w:t>
      </w:r>
    </w:p>
    <w:p w14:paraId="7406E3DA" w14:textId="77777777" w:rsidR="008305EF" w:rsidRPr="00345713" w:rsidRDefault="008305EF" w:rsidP="002C30C1">
      <w:pPr>
        <w:ind w:left="709"/>
        <w:rPr>
          <w:szCs w:val="24"/>
        </w:rPr>
      </w:pPr>
      <w:r>
        <w:t>- uzna, że przekazanie zmienionych sprawozdań finansowych nie jest możliwe lub wykonalne; lub</w:t>
      </w:r>
    </w:p>
    <w:p w14:paraId="4760052E" w14:textId="77777777" w:rsidR="008305EF" w:rsidRPr="00345713" w:rsidRDefault="008305EF" w:rsidP="002C30C1">
      <w:pPr>
        <w:ind w:left="709"/>
        <w:rPr>
          <w:szCs w:val="24"/>
        </w:rPr>
      </w:pPr>
      <w:r>
        <w:t>- nie przedłoży zmienionych sprawozdań finansowych;</w:t>
      </w:r>
    </w:p>
    <w:p w14:paraId="49B37E2B" w14:textId="77777777" w:rsidR="00E156D5" w:rsidRPr="00345713" w:rsidRDefault="00DF6361" w:rsidP="002C30C1">
      <w:r>
        <w:rPr>
          <w:b/>
        </w:rPr>
        <w:t>etap 2</w:t>
      </w:r>
      <w:r>
        <w:t xml:space="preserve"> – dany beneficjent </w:t>
      </w:r>
      <w:r w:rsidRPr="00C24B90">
        <w:t>ma</w:t>
      </w:r>
      <w:r w:rsidR="00C24B90" w:rsidRPr="00C24B90">
        <w:t> </w:t>
      </w:r>
      <w:r w:rsidRPr="00C24B90">
        <w:t>6</w:t>
      </w:r>
      <w:r>
        <w:t>0 dni kalendarzowych od dnia otrzymania formalnego zawiadomienia na przekazanie uwag</w:t>
      </w:r>
      <w:r w:rsidR="00C24B90">
        <w:t xml:space="preserve"> i zmi</w:t>
      </w:r>
      <w:r>
        <w:t>enionych sprawozdań finansowych lub na zaproponowanie należycie uzasadnionej alternatywnej metody dokonania korekty</w:t>
      </w:r>
      <w:r w:rsidR="00C24B90">
        <w:t>. W uza</w:t>
      </w:r>
      <w:r>
        <w:t>sadnionych przypadkach Komisja może przedłużyć ten termin;</w:t>
      </w:r>
    </w:p>
    <w:p w14:paraId="05FC03E7" w14:textId="77777777" w:rsidR="006A1B5D" w:rsidRPr="00345713" w:rsidRDefault="006303BD" w:rsidP="002C30C1">
      <w:r>
        <w:rPr>
          <w:b/>
        </w:rPr>
        <w:t>etap 3</w:t>
      </w:r>
      <w:r>
        <w:t xml:space="preserve"> – jeżeli dany beneficjent przekaże zmienione sprawozdania finansowe,</w:t>
      </w:r>
      <w:r w:rsidR="00C24B90">
        <w:t xml:space="preserve"> w któ</w:t>
      </w:r>
      <w:r>
        <w:t>rych uwzględnione zostaną stosowne ustalenia, Komisja ustali kwotę podlegającą korekcie</w:t>
      </w:r>
      <w:r w:rsidR="00C24B90">
        <w:t xml:space="preserve"> w opa</w:t>
      </w:r>
      <w:r>
        <w:t>rciu</w:t>
      </w:r>
      <w:r w:rsidR="00C24B90">
        <w:t xml:space="preserve"> o tre</w:t>
      </w:r>
      <w:r>
        <w:t>ść tych zmienionych sprawozdań.</w:t>
      </w:r>
    </w:p>
    <w:p w14:paraId="302E64F3" w14:textId="77777777" w:rsidR="006303BD" w:rsidRPr="00345713" w:rsidRDefault="006303BD" w:rsidP="002C30C1">
      <w:r>
        <w:t>Jeżeli beneficjent zaproponuje alternatywną metodę korekty,</w:t>
      </w:r>
      <w:r w:rsidR="00C24B90">
        <w:t xml:space="preserve"> a Kom</w:t>
      </w:r>
      <w:r>
        <w:t>isja wyrazi zgodę na jej zastosowanie, Komisja musi przekazać danemu beneficjentowi formalne zawiadomienie,</w:t>
      </w:r>
      <w:r w:rsidR="00C24B90">
        <w:t xml:space="preserve"> w któ</w:t>
      </w:r>
      <w:r>
        <w:t>rym poinformuje go o:</w:t>
      </w:r>
    </w:p>
    <w:p w14:paraId="7EE3824F" w14:textId="77777777" w:rsidR="006303BD" w:rsidRPr="00345713" w:rsidRDefault="008962C9" w:rsidP="003A2A37">
      <w:pPr>
        <w:numPr>
          <w:ilvl w:val="0"/>
          <w:numId w:val="68"/>
        </w:numPr>
      </w:pPr>
      <w:r>
        <w:t>wyrażeniu zgody na zastosowanie alternatywnej metody korekty;</w:t>
      </w:r>
    </w:p>
    <w:p w14:paraId="790B0E33" w14:textId="77777777" w:rsidR="006303BD" w:rsidRPr="00345713" w:rsidRDefault="008962C9" w:rsidP="003A2A37">
      <w:pPr>
        <w:numPr>
          <w:ilvl w:val="0"/>
          <w:numId w:val="68"/>
        </w:numPr>
      </w:pPr>
      <w:r>
        <w:t>wysokości zmienionych kosztów kwalifikowalnych obliczonych</w:t>
      </w:r>
      <w:r w:rsidR="00C24B90">
        <w:t xml:space="preserve"> z zas</w:t>
      </w:r>
      <w:r>
        <w:t>tosowaniem tej metody.</w:t>
      </w:r>
    </w:p>
    <w:p w14:paraId="382CC452" w14:textId="77777777" w:rsidR="006303BD" w:rsidRPr="00345713" w:rsidRDefault="006303BD" w:rsidP="002C30C1">
      <w:r>
        <w:lastRenderedPageBreak/>
        <w:t>W przeciwnym wypadku Komisja musi przekazać beneficjentowi formalne zawiadomienie,</w:t>
      </w:r>
      <w:r w:rsidR="00C24B90">
        <w:t xml:space="preserve"> w któ</w:t>
      </w:r>
      <w:r>
        <w:t>rym poinformuje go o:</w:t>
      </w:r>
    </w:p>
    <w:p w14:paraId="28745921" w14:textId="77777777" w:rsidR="006303BD" w:rsidRPr="00345713" w:rsidRDefault="008962C9" w:rsidP="003A2A37">
      <w:pPr>
        <w:numPr>
          <w:ilvl w:val="0"/>
          <w:numId w:val="69"/>
        </w:numPr>
      </w:pPr>
      <w:r>
        <w:t>odrzuceniu przekazanych uwag lub zaproponowanej alternatywnej metody korekty;</w:t>
      </w:r>
    </w:p>
    <w:p w14:paraId="128C0A94" w14:textId="77777777" w:rsidR="006303BD" w:rsidRPr="00345713" w:rsidRDefault="008962C9" w:rsidP="003A2A37">
      <w:pPr>
        <w:numPr>
          <w:ilvl w:val="0"/>
          <w:numId w:val="69"/>
        </w:numPr>
      </w:pPr>
      <w:r>
        <w:t>wysokości zmienionych kosztów kwalifikowalnych obliczonych</w:t>
      </w:r>
      <w:r w:rsidR="00C24B90">
        <w:t xml:space="preserve"> z zas</w:t>
      </w:r>
      <w:r>
        <w:t>tosowaniem metody ekstrapolacji,</w:t>
      </w:r>
      <w:r w:rsidR="00C24B90">
        <w:t xml:space="preserve"> o któ</w:t>
      </w:r>
      <w:r>
        <w:t>rej uprzednio powiadomiła beneficjenta.</w:t>
      </w:r>
    </w:p>
    <w:p w14:paraId="217E7D19" w14:textId="77777777" w:rsidR="00B051E5" w:rsidRPr="00345713" w:rsidRDefault="00021446" w:rsidP="002C30C1">
      <w:r>
        <w:t>W przypadku wykrycia systemowych lub powtarzających się nieprawidłowości, nadużyć finansowych lub przypadków naruszenia obowiązków po wypłacie salda kwota podlegająca odzyskaniu odpowiada różnicy między:</w:t>
      </w:r>
    </w:p>
    <w:p w14:paraId="0C91FDCE" w14:textId="77777777" w:rsidR="00B051E5" w:rsidRPr="00345713" w:rsidRDefault="00021446" w:rsidP="003A2A37">
      <w:pPr>
        <w:numPr>
          <w:ilvl w:val="0"/>
          <w:numId w:val="70"/>
        </w:numPr>
      </w:pPr>
      <w:r>
        <w:t>zmienioną ostateczną kwotą dotacji obliczoną zgodnie</w:t>
      </w:r>
      <w:r w:rsidR="00C24B90">
        <w:t xml:space="preserve"> z art</w:t>
      </w:r>
      <w:r>
        <w:t>. II.25</w:t>
      </w:r>
      <w:r w:rsidR="00C24B90">
        <w:t xml:space="preserve"> w opa</w:t>
      </w:r>
      <w:r>
        <w:t>rciu</w:t>
      </w:r>
      <w:r w:rsidR="00C24B90">
        <w:t xml:space="preserve"> o zmi</w:t>
      </w:r>
      <w:r>
        <w:t>enioną kwotę kosztów kwalifikowalnych zadeklarowaną przez beneficjenta</w:t>
      </w:r>
      <w:r w:rsidR="00C24B90">
        <w:t xml:space="preserve"> i zat</w:t>
      </w:r>
      <w:r>
        <w:t>wierdzoną przez Komisję lub</w:t>
      </w:r>
      <w:r w:rsidR="00C24B90">
        <w:t xml:space="preserve"> w opa</w:t>
      </w:r>
      <w:r>
        <w:t>rciu</w:t>
      </w:r>
      <w:r w:rsidR="00C24B90">
        <w:t xml:space="preserve"> o zmi</w:t>
      </w:r>
      <w:r>
        <w:t>enioną kwotę kosztów kwalifikowalnych po ekstrapolacji; oraz</w:t>
      </w:r>
    </w:p>
    <w:p w14:paraId="57C27385" w14:textId="77777777" w:rsidR="006178F3" w:rsidRPr="00345713" w:rsidRDefault="00021446" w:rsidP="003A2A37">
      <w:pPr>
        <w:numPr>
          <w:ilvl w:val="0"/>
          <w:numId w:val="70"/>
        </w:numPr>
      </w:pPr>
      <w:r>
        <w:t>łączną kwotą wypłaconą beneficjentom zgodnie</w:t>
      </w:r>
      <w:r w:rsidR="00C24B90">
        <w:t xml:space="preserve"> z Umo</w:t>
      </w:r>
      <w:r>
        <w:t>wą na realizację działania;</w:t>
      </w:r>
    </w:p>
    <w:p w14:paraId="59D68B2F" w14:textId="77777777" w:rsidR="00DF6361" w:rsidRPr="00345713" w:rsidRDefault="0032406E" w:rsidP="003A2A37">
      <w:pPr>
        <w:numPr>
          <w:ilvl w:val="0"/>
          <w:numId w:val="66"/>
        </w:numPr>
        <w:ind w:left="567" w:hanging="567"/>
        <w:rPr>
          <w:szCs w:val="24"/>
        </w:rPr>
      </w:pPr>
      <w:r>
        <w:t>jeżeli ustalenia dotyczą nieprawidłowej realizacji działania lub naruszenia innego obowiązku, stosuje się następującą procedurę:</w:t>
      </w:r>
    </w:p>
    <w:p w14:paraId="16A66A0F" w14:textId="77777777" w:rsidR="0032406E" w:rsidRPr="00345713" w:rsidRDefault="00DF6361" w:rsidP="002C30C1">
      <w:r>
        <w:rPr>
          <w:b/>
        </w:rPr>
        <w:t>etap 1</w:t>
      </w:r>
      <w:r>
        <w:t xml:space="preserve"> – formalne zawiadomienie musi zawierać:</w:t>
      </w:r>
    </w:p>
    <w:p w14:paraId="093F8F14" w14:textId="77777777" w:rsidR="0032406E" w:rsidRPr="00345713" w:rsidRDefault="0032406E" w:rsidP="003A2A37">
      <w:pPr>
        <w:numPr>
          <w:ilvl w:val="0"/>
          <w:numId w:val="71"/>
        </w:numPr>
      </w:pPr>
      <w:r>
        <w:t>skierowane do beneficjenta wezwanie do przedstawienia uwag do wykazu dotacji, na które ustalenia wywierają wpływ; oraz</w:t>
      </w:r>
    </w:p>
    <w:p w14:paraId="6660ACA2" w14:textId="77777777" w:rsidR="0032406E" w:rsidRPr="00345713" w:rsidRDefault="0032406E" w:rsidP="003A2A37">
      <w:pPr>
        <w:numPr>
          <w:ilvl w:val="0"/>
          <w:numId w:val="71"/>
        </w:numPr>
      </w:pPr>
      <w:r>
        <w:t>zryczałtowaną stawkę korekty, którą Komisja zamierza zastosować</w:t>
      </w:r>
      <w:r w:rsidR="00C24B90">
        <w:t xml:space="preserve"> w odn</w:t>
      </w:r>
      <w:r>
        <w:t>iesieniu do maksymalnej kwoty dotacji lub</w:t>
      </w:r>
      <w:r w:rsidR="00C24B90">
        <w:t xml:space="preserve"> w odn</w:t>
      </w:r>
      <w:r>
        <w:t>iesieniu do części tej kwoty zgodnie</w:t>
      </w:r>
      <w:r w:rsidR="00C24B90">
        <w:t xml:space="preserve"> z zas</w:t>
      </w:r>
      <w:r>
        <w:t>adą proporcjonalności;</w:t>
      </w:r>
    </w:p>
    <w:p w14:paraId="25CBAFCD" w14:textId="77777777" w:rsidR="0032406E" w:rsidRPr="00345713" w:rsidRDefault="00DF6361" w:rsidP="002C30C1">
      <w:r>
        <w:rPr>
          <w:b/>
        </w:rPr>
        <w:t>etap 2</w:t>
      </w:r>
      <w:r>
        <w:t xml:space="preserve"> – dany beneficjent </w:t>
      </w:r>
      <w:r w:rsidRPr="00C24B90">
        <w:t>ma</w:t>
      </w:r>
      <w:r w:rsidR="00C24B90" w:rsidRPr="00C24B90">
        <w:t> </w:t>
      </w:r>
      <w:r w:rsidRPr="00C24B90">
        <w:t>6</w:t>
      </w:r>
      <w:r>
        <w:t>0 dni kalendarzowych od dnia otrzymania formalnego zawiadomienia na przekazanie uwag lub na zaproponowanie należycie uzasadnionej alternatywnej stawki zryczałtowanej;</w:t>
      </w:r>
    </w:p>
    <w:p w14:paraId="122402FF" w14:textId="77777777" w:rsidR="00404C9B" w:rsidRPr="00345713" w:rsidRDefault="00DF6361" w:rsidP="002C30C1">
      <w:r>
        <w:rPr>
          <w:b/>
        </w:rPr>
        <w:t>etap 3</w:t>
      </w:r>
      <w:r>
        <w:t xml:space="preserve"> – jeżeli Komisja wyrazi zgodę na zastosowanie alternatywnej stawki zryczałtowanej zaproponowanej przez beneficjenta, musi przesłać danemu beneficjentowi formalne zawiadomienie,</w:t>
      </w:r>
      <w:r w:rsidR="00C24B90">
        <w:t xml:space="preserve"> w któ</w:t>
      </w:r>
      <w:r>
        <w:t>rym poinformuje go o:</w:t>
      </w:r>
    </w:p>
    <w:p w14:paraId="0A93BAF8" w14:textId="77777777" w:rsidR="00404C9B" w:rsidRPr="00345713" w:rsidRDefault="005835FB" w:rsidP="003A2A37">
      <w:pPr>
        <w:numPr>
          <w:ilvl w:val="0"/>
          <w:numId w:val="72"/>
        </w:numPr>
      </w:pPr>
      <w:r>
        <w:t>wyrażeniu zgody na zastosowanie alternatywnej stawki zryczałtowanej;</w:t>
      </w:r>
    </w:p>
    <w:p w14:paraId="607876C3" w14:textId="77777777" w:rsidR="00F40AB9" w:rsidRPr="00345713" w:rsidRDefault="005835FB" w:rsidP="003A2A37">
      <w:pPr>
        <w:numPr>
          <w:ilvl w:val="0"/>
          <w:numId w:val="72"/>
        </w:numPr>
      </w:pPr>
      <w:r>
        <w:t>kwocie dotacji skorygowanej przez zastosowanie stawki zryczałtowanej.</w:t>
      </w:r>
    </w:p>
    <w:p w14:paraId="0870F94D" w14:textId="77777777" w:rsidR="00364207" w:rsidRPr="00345713" w:rsidRDefault="00364207" w:rsidP="002C30C1">
      <w:r>
        <w:t>W przeciwnym wypadku Komisja musi przekazać beneficjentowi formalne zawiadomienie,</w:t>
      </w:r>
      <w:r w:rsidR="00C24B90">
        <w:t xml:space="preserve"> w któ</w:t>
      </w:r>
      <w:r>
        <w:t>rym poinformuje go o:</w:t>
      </w:r>
    </w:p>
    <w:p w14:paraId="7118A602" w14:textId="77777777" w:rsidR="00364207" w:rsidRPr="00345713" w:rsidRDefault="00A7491F" w:rsidP="003A2A37">
      <w:pPr>
        <w:numPr>
          <w:ilvl w:val="0"/>
          <w:numId w:val="73"/>
        </w:numPr>
      </w:pPr>
      <w:r>
        <w:t>odrzuceniu przekazanych uwag lub zaproponowanej alternatywnej stawki zryczałtowanej;</w:t>
      </w:r>
    </w:p>
    <w:p w14:paraId="59A58CEB" w14:textId="77777777" w:rsidR="00F40AB9" w:rsidRPr="00345713" w:rsidRDefault="00A7491F" w:rsidP="003A2A37">
      <w:pPr>
        <w:numPr>
          <w:ilvl w:val="0"/>
          <w:numId w:val="73"/>
        </w:numPr>
      </w:pPr>
      <w:r>
        <w:t>kwocie dotacji skorygowanej przez zastosowanie stawki zryczałtowanej,</w:t>
      </w:r>
      <w:r w:rsidR="00C24B90">
        <w:t xml:space="preserve"> o któ</w:t>
      </w:r>
      <w:r>
        <w:t>rej uprzednio powiadomiła beneficjenta.</w:t>
      </w:r>
    </w:p>
    <w:p w14:paraId="3F1BE651" w14:textId="77777777" w:rsidR="00C9498B" w:rsidRPr="00345713" w:rsidRDefault="00851B1B" w:rsidP="002C30C1">
      <w:r>
        <w:t>W przypadku wykrycia systemowych lub powtarzających się nieprawidłowości, nadużyć finansowych lub przypadków naruszenia obowiązków po wypłacie salda kwota podlegająca odzyskaniu odpowiada różnicy między:</w:t>
      </w:r>
    </w:p>
    <w:p w14:paraId="2C5F8E30" w14:textId="77777777" w:rsidR="00C9498B" w:rsidRPr="00345713" w:rsidRDefault="00851B1B" w:rsidP="003A2A37">
      <w:pPr>
        <w:numPr>
          <w:ilvl w:val="0"/>
          <w:numId w:val="74"/>
        </w:numPr>
      </w:pPr>
      <w:r>
        <w:lastRenderedPageBreak/>
        <w:t>zmienioną ostateczną kwotą dotacji skorygowaną przez zastosowanie stawki zryczałtowanej; oraz</w:t>
      </w:r>
    </w:p>
    <w:p w14:paraId="68DE9C54" w14:textId="77777777" w:rsidR="006178F3" w:rsidRPr="00345713" w:rsidRDefault="00851B1B" w:rsidP="003A2A37">
      <w:pPr>
        <w:numPr>
          <w:ilvl w:val="0"/>
          <w:numId w:val="74"/>
        </w:numPr>
      </w:pPr>
      <w:r>
        <w:t>łączną kwotą wypłaconą beneficjentom zgodnie</w:t>
      </w:r>
      <w:r w:rsidR="00C24B90">
        <w:t xml:space="preserve"> z Umo</w:t>
      </w:r>
      <w:r>
        <w:t>wą na realizację działania.</w:t>
      </w:r>
    </w:p>
    <w:p w14:paraId="3F203B00" w14:textId="77777777" w:rsidR="00171637" w:rsidRPr="00345713" w:rsidRDefault="00171637" w:rsidP="00E24A37">
      <w:pPr>
        <w:pStyle w:val="Nagwek3"/>
        <w:ind w:left="1134" w:hanging="1134"/>
      </w:pPr>
      <w:bookmarkStart w:id="234" w:name="_Toc441250891"/>
      <w:bookmarkStart w:id="235" w:name="_Toc530496985"/>
      <w:bookmarkStart w:id="236" w:name="_Toc30764086"/>
      <w:r>
        <w:t>II.27.8</w:t>
      </w:r>
      <w:r>
        <w:tab/>
        <w:t>Prawa OLAF-u</w:t>
      </w:r>
      <w:bookmarkEnd w:id="234"/>
      <w:bookmarkEnd w:id="235"/>
      <w:bookmarkEnd w:id="236"/>
      <w:r>
        <w:t xml:space="preserve"> </w:t>
      </w:r>
    </w:p>
    <w:p w14:paraId="52844BD6" w14:textId="77777777" w:rsidR="00171637" w:rsidRPr="00345713" w:rsidRDefault="00171637" w:rsidP="00770E86">
      <w:r>
        <w:t>Europejski Urząd ds. Zwalczania Nadużyć Finansowych (OLAF) posiada takie same uprawnienia</w:t>
      </w:r>
      <w:r w:rsidR="00C24B90">
        <w:t xml:space="preserve"> w zak</w:t>
      </w:r>
      <w:r>
        <w:t>resie przeprowadzania kontroli</w:t>
      </w:r>
      <w:r w:rsidR="00C24B90">
        <w:t xml:space="preserve"> i doc</w:t>
      </w:r>
      <w:r>
        <w:t>hodzeń jak Komisja,</w:t>
      </w:r>
      <w:r w:rsidR="00C24B90">
        <w:t xml:space="preserve"> w szc</w:t>
      </w:r>
      <w:r>
        <w:t>zególności jeżeli chodzi</w:t>
      </w:r>
      <w:r w:rsidR="00C24B90">
        <w:t xml:space="preserve"> o pra</w:t>
      </w:r>
      <w:r>
        <w:t>wo dostępu.</w:t>
      </w:r>
    </w:p>
    <w:p w14:paraId="385E2C9B" w14:textId="77777777" w:rsidR="00171637" w:rsidRDefault="005B57B7" w:rsidP="00770E86">
      <w:r>
        <w:t>Na mocy rozporządzenia Rady (</w:t>
      </w:r>
      <w:proofErr w:type="spellStart"/>
      <w:r>
        <w:t>Euratom</w:t>
      </w:r>
      <w:proofErr w:type="spellEnd"/>
      <w:r>
        <w:t xml:space="preserve">, WE) </w:t>
      </w:r>
      <w:r w:rsidRPr="00C24B90">
        <w:t>nr</w:t>
      </w:r>
      <w:r w:rsidR="00C24B90" w:rsidRPr="00C24B90">
        <w:t> </w:t>
      </w:r>
      <w:r w:rsidRPr="00C24B90">
        <w:t>2</w:t>
      </w:r>
      <w:r>
        <w:t>185/96</w:t>
      </w:r>
      <w:r>
        <w:rPr>
          <w:rStyle w:val="Odwoanieprzypisudolnego"/>
        </w:rPr>
        <w:footnoteReference w:id="5"/>
      </w:r>
      <w:r w:rsidR="00C24B90">
        <w:t xml:space="preserve"> i roz</w:t>
      </w:r>
      <w:r>
        <w:t xml:space="preserve">porządzenia (UE, </w:t>
      </w:r>
      <w:proofErr w:type="spellStart"/>
      <w:r>
        <w:t>Euratom</w:t>
      </w:r>
      <w:proofErr w:type="spellEnd"/>
      <w:r>
        <w:t xml:space="preserve">) </w:t>
      </w:r>
      <w:r w:rsidRPr="00C24B90">
        <w:t>nr</w:t>
      </w:r>
      <w:r w:rsidR="00C24B90" w:rsidRPr="00C24B90">
        <w:t> </w:t>
      </w:r>
      <w:r w:rsidRPr="00C24B90">
        <w:t>8</w:t>
      </w:r>
      <w:r>
        <w:t>83/2013</w:t>
      </w:r>
      <w:r>
        <w:rPr>
          <w:rStyle w:val="Odwoanieprzypisudolnego"/>
        </w:rPr>
        <w:footnoteReference w:id="6"/>
      </w:r>
      <w:r>
        <w:t xml:space="preserve"> OLAF może również przeprowadzać kontrole na miejscu oraz inspekcje zgodnie</w:t>
      </w:r>
      <w:r w:rsidR="00C24B90">
        <w:t xml:space="preserve"> z pro</w:t>
      </w:r>
      <w:r>
        <w:t>cedurami przewidzianymi</w:t>
      </w:r>
      <w:r w:rsidR="00C24B90">
        <w:t xml:space="preserve"> w pra</w:t>
      </w:r>
      <w:r>
        <w:t>wie Unii</w:t>
      </w:r>
      <w:r w:rsidR="00C24B90">
        <w:t xml:space="preserve"> w cel</w:t>
      </w:r>
      <w:r>
        <w:t xml:space="preserve">u ochrony interesów finansowych Unii przed </w:t>
      </w:r>
      <w:r w:rsidRPr="00484D6C">
        <w:t>nadużyciami finansowymi</w:t>
      </w:r>
      <w:r w:rsidR="00C24B90">
        <w:t xml:space="preserve"> i inn</w:t>
      </w:r>
      <w:r>
        <w:t xml:space="preserve">ymi </w:t>
      </w:r>
      <w:r w:rsidRPr="00484D6C">
        <w:t>nieprawidłowościami</w:t>
      </w:r>
      <w:r>
        <w:t>.</w:t>
      </w:r>
    </w:p>
    <w:p w14:paraId="0FE20450" w14:textId="77777777" w:rsidR="000E6B58" w:rsidRDefault="000E6B58" w:rsidP="00770E86"/>
    <w:p w14:paraId="6CCC27E8" w14:textId="77777777" w:rsidR="00171637" w:rsidRPr="00345713" w:rsidRDefault="00171637" w:rsidP="00770E86">
      <w:r>
        <w:t>W stosownych przypadkach ustalenia OLAF-u mogą prowadzić do odzyskania kwot od beneficjentów przez Komisję</w:t>
      </w:r>
    </w:p>
    <w:p w14:paraId="6F23EDFC" w14:textId="77777777" w:rsidR="00FD1407" w:rsidRPr="00345713" w:rsidRDefault="00FD1407" w:rsidP="00770E86">
      <w:r>
        <w:t>Ponadto ustalenia</w:t>
      </w:r>
      <w:r w:rsidR="00C24B90">
        <w:t xml:space="preserve"> z doc</w:t>
      </w:r>
      <w:r>
        <w:t>hodzenia przeprowadzonego przez OLAF mogą prowadzić do wszczęcia postępowania karnego na podstawie przepisów prawa krajowego.</w:t>
      </w:r>
    </w:p>
    <w:p w14:paraId="506DBC61" w14:textId="77777777" w:rsidR="00171637" w:rsidRPr="00345713" w:rsidRDefault="00171637" w:rsidP="00E24A37">
      <w:pPr>
        <w:pStyle w:val="Nagwek3"/>
        <w:ind w:left="1134" w:hanging="1134"/>
      </w:pPr>
      <w:bookmarkStart w:id="237" w:name="_Toc441250892"/>
      <w:bookmarkStart w:id="238" w:name="_Toc530496986"/>
      <w:bookmarkStart w:id="239" w:name="_Toc30764087"/>
      <w:r>
        <w:t>II.27.9</w:t>
      </w:r>
      <w:r>
        <w:tab/>
        <w:t>Prawa Europejskiego Trybunału Obrachunkowego</w:t>
      </w:r>
      <w:bookmarkEnd w:id="237"/>
      <w:r w:rsidR="00C24B90">
        <w:t xml:space="preserve"> i Pro</w:t>
      </w:r>
      <w:r>
        <w:t>kuratury Europejskiej</w:t>
      </w:r>
      <w:bookmarkEnd w:id="238"/>
      <w:bookmarkEnd w:id="239"/>
    </w:p>
    <w:p w14:paraId="1CE0BB5E" w14:textId="77777777" w:rsidR="00171637" w:rsidRPr="00345713" w:rsidRDefault="00171637" w:rsidP="00770E86">
      <w:r>
        <w:t>Na użytek kontroli, audytów</w:t>
      </w:r>
      <w:r w:rsidR="00C24B90">
        <w:t xml:space="preserve"> i doc</w:t>
      </w:r>
      <w:r>
        <w:t>hodzeń Europejski Trybunał Obrachunkowy</w:t>
      </w:r>
      <w:r w:rsidR="00C24B90">
        <w:t xml:space="preserve"> i Pro</w:t>
      </w:r>
      <w:r>
        <w:t>kuratura Europejska ustanowiona rozporządzeniem Rady (UE) 2017/1939</w:t>
      </w:r>
      <w:r>
        <w:rPr>
          <w:rStyle w:val="Odwoanieprzypisudolnego"/>
        </w:rPr>
        <w:footnoteReference w:id="7"/>
      </w:r>
      <w:r>
        <w:t xml:space="preserve"> mają takie same prawa jak Komisja,</w:t>
      </w:r>
      <w:r w:rsidR="00C24B90">
        <w:t xml:space="preserve"> w szc</w:t>
      </w:r>
      <w:r>
        <w:t>zególności prawo dostępu.</w:t>
      </w:r>
    </w:p>
    <w:p w14:paraId="7480CEBA" w14:textId="77777777" w:rsidR="00770E86" w:rsidRPr="00345713" w:rsidRDefault="00770E86" w:rsidP="00770E86"/>
    <w:p w14:paraId="0C879DA6" w14:textId="77777777" w:rsidR="00770E86" w:rsidRPr="00345713" w:rsidRDefault="00770E86" w:rsidP="00770E86">
      <w:pPr>
        <w:sectPr w:rsidR="00770E86" w:rsidRPr="00345713" w:rsidSect="00BF4ABF">
          <w:pgSz w:w="11906" w:h="16838" w:code="9"/>
          <w:pgMar w:top="1304" w:right="1418" w:bottom="1304" w:left="1418" w:header="567" w:footer="567" w:gutter="0"/>
          <w:cols w:space="708"/>
          <w:docGrid w:linePitch="360"/>
        </w:sectPr>
      </w:pPr>
    </w:p>
    <w:p w14:paraId="49B7A852" w14:textId="77777777" w:rsidR="00075CF5" w:rsidRPr="00A6537C" w:rsidRDefault="00884D27" w:rsidP="00696E62">
      <w:pPr>
        <w:spacing w:after="0"/>
        <w:jc w:val="center"/>
        <w:outlineLvl w:val="0"/>
        <w:rPr>
          <w:rStyle w:val="Nagwek1Znak"/>
        </w:rPr>
      </w:pPr>
      <w:bookmarkStart w:id="240" w:name="_Toc441250893"/>
      <w:r>
        <w:rPr>
          <w:b/>
          <w:i/>
          <w:smallCaps/>
        </w:rPr>
        <w:lastRenderedPageBreak/>
        <w:t>[</w:t>
      </w:r>
      <w:r>
        <w:rPr>
          <w:b/>
          <w:i/>
          <w:color w:val="0070C0"/>
        </w:rPr>
        <w:t xml:space="preserve">Wariant 1 do podpisania: </w:t>
      </w:r>
      <w:r>
        <w:rPr>
          <w:rStyle w:val="Nagwek1Znak"/>
        </w:rPr>
        <w:t xml:space="preserve">Załącznik IV </w:t>
      </w:r>
      <w:r>
        <w:rPr>
          <w:rStyle w:val="Nagwek1Znak"/>
        </w:rPr>
        <w:br/>
        <w:t>Pełnomocnictwo</w:t>
      </w:r>
      <w:r>
        <w:rPr>
          <w:rStyle w:val="Odwoanieprzypisudolnego"/>
        </w:rPr>
        <w:footnoteReference w:id="8"/>
      </w:r>
      <w:bookmarkEnd w:id="240"/>
    </w:p>
    <w:p w14:paraId="25C1226A" w14:textId="77777777" w:rsidR="00347D55" w:rsidRPr="00A6537C" w:rsidRDefault="00347D55" w:rsidP="00347D55">
      <w:pPr>
        <w:snapToGrid w:val="0"/>
        <w:spacing w:after="0"/>
        <w:rPr>
          <w:szCs w:val="24"/>
        </w:rPr>
      </w:pPr>
    </w:p>
    <w:p w14:paraId="7D520110" w14:textId="77777777" w:rsidR="00EB710F" w:rsidRPr="00345713" w:rsidRDefault="00075CF5" w:rsidP="002C30C1">
      <w:r>
        <w:t>Ja, niżej podpisany(-a),</w:t>
      </w:r>
    </w:p>
    <w:p w14:paraId="4DFFCABB" w14:textId="77777777" w:rsidR="001637DC" w:rsidRPr="00345713" w:rsidRDefault="00EB710F" w:rsidP="00347D55">
      <w:pPr>
        <w:snapToGrid w:val="0"/>
        <w:spacing w:after="0"/>
      </w:pPr>
      <w:r>
        <w:t>[</w:t>
      </w:r>
      <w:r>
        <w:rPr>
          <w:highlight w:val="lightGray"/>
        </w:rPr>
        <w:t>imię</w:t>
      </w:r>
      <w:r w:rsidR="00C24B90">
        <w:rPr>
          <w:highlight w:val="lightGray"/>
        </w:rPr>
        <w:t xml:space="preserve"> i naz</w:t>
      </w:r>
      <w:r>
        <w:rPr>
          <w:highlight w:val="lightGray"/>
        </w:rPr>
        <w:t>wisko przedstawiciela prawnego przyszłego beneficjenta podpisującego niniejsze pełnomocnictwo</w:t>
      </w:r>
      <w:r>
        <w:t>],</w:t>
      </w:r>
    </w:p>
    <w:p w14:paraId="691154F4" w14:textId="77777777" w:rsidR="00075CF5" w:rsidRPr="00345713" w:rsidRDefault="00EB710F" w:rsidP="002C30C1">
      <w:pPr>
        <w:rPr>
          <w:szCs w:val="24"/>
        </w:rPr>
      </w:pPr>
      <w:r>
        <w:t>reprezentujący(-a)</w:t>
      </w:r>
    </w:p>
    <w:p w14:paraId="58F4F97E" w14:textId="77777777" w:rsidR="00075CF5" w:rsidRPr="00345713" w:rsidRDefault="00075CF5" w:rsidP="00075CF5">
      <w:pPr>
        <w:spacing w:after="0"/>
      </w:pPr>
      <w:r>
        <w:t>[</w:t>
      </w:r>
      <w:r>
        <w:rPr>
          <w:highlight w:val="lightGray"/>
        </w:rPr>
        <w:t>pełna oficjalna nazwa</w:t>
      </w:r>
      <w:r>
        <w:t xml:space="preserve"> przyszłego beneficjenta] [AKRONIM]</w:t>
      </w:r>
    </w:p>
    <w:p w14:paraId="49144358" w14:textId="77777777" w:rsidR="00075CF5" w:rsidRPr="00345713" w:rsidRDefault="00075CF5" w:rsidP="00075CF5">
      <w:pPr>
        <w:spacing w:after="0"/>
      </w:pPr>
      <w:r>
        <w:t>[</w:t>
      </w:r>
      <w:r>
        <w:rPr>
          <w:i/>
          <w:highlight w:val="lightGray"/>
        </w:rPr>
        <w:t>oficjalny status prawny lub forma prawna</w:t>
      </w:r>
      <w:r>
        <w:t>]</w:t>
      </w:r>
      <w:r>
        <w:rPr>
          <w:rStyle w:val="Odwoanieprzypisudolnego"/>
        </w:rPr>
        <w:footnoteReference w:id="9"/>
      </w:r>
    </w:p>
    <w:p w14:paraId="29686861" w14:textId="77777777" w:rsidR="00075CF5" w:rsidRPr="00345713" w:rsidRDefault="00075CF5" w:rsidP="00075CF5">
      <w:pPr>
        <w:spacing w:after="0"/>
      </w:pPr>
      <w:r>
        <w:t>[</w:t>
      </w:r>
      <w:r>
        <w:rPr>
          <w:i/>
          <w:highlight w:val="lightGray"/>
        </w:rPr>
        <w:t>oficjalny numer rejestracji</w:t>
      </w:r>
      <w:r>
        <w:t>]</w:t>
      </w:r>
      <w:r>
        <w:rPr>
          <w:rStyle w:val="Odwoanieprzypisudolnego"/>
        </w:rPr>
        <w:footnoteReference w:id="10"/>
      </w:r>
    </w:p>
    <w:p w14:paraId="257909D0" w14:textId="77777777" w:rsidR="00075CF5" w:rsidRPr="00345713" w:rsidRDefault="00075CF5" w:rsidP="00075CF5">
      <w:pPr>
        <w:spacing w:after="0"/>
      </w:pPr>
      <w:r>
        <w:t>[</w:t>
      </w:r>
      <w:r>
        <w:rPr>
          <w:highlight w:val="lightGray"/>
        </w:rPr>
        <w:t>dokładny oficjalny adres</w:t>
      </w:r>
      <w:r>
        <w:t>]</w:t>
      </w:r>
    </w:p>
    <w:p w14:paraId="2F7A295C" w14:textId="77777777" w:rsidR="00075CF5" w:rsidRPr="00345713" w:rsidRDefault="00075CF5" w:rsidP="00075CF5">
      <w:pPr>
        <w:spacing w:after="0"/>
      </w:pPr>
      <w:r>
        <w:t>[</w:t>
      </w:r>
      <w:r>
        <w:rPr>
          <w:i/>
          <w:highlight w:val="lightGray"/>
        </w:rPr>
        <w:t>numer VAT</w:t>
      </w:r>
      <w:r>
        <w:t>],</w:t>
      </w:r>
    </w:p>
    <w:p w14:paraId="7C917C1F" w14:textId="77777777" w:rsidR="00075CF5" w:rsidRPr="00345713" w:rsidRDefault="00075CF5" w:rsidP="00075CF5">
      <w:pPr>
        <w:spacing w:after="0"/>
      </w:pPr>
    </w:p>
    <w:p w14:paraId="745398F6" w14:textId="77777777" w:rsidR="00075CF5" w:rsidRPr="00345713" w:rsidRDefault="00696E4E" w:rsidP="00075CF5">
      <w:pPr>
        <w:spacing w:after="0"/>
      </w:pPr>
      <w:r>
        <w:t>(„beneficjent”),</w:t>
      </w:r>
    </w:p>
    <w:p w14:paraId="461FFE31" w14:textId="77777777" w:rsidR="001637DC" w:rsidRPr="00345713" w:rsidRDefault="001637DC" w:rsidP="00075CF5">
      <w:pPr>
        <w:spacing w:after="0"/>
      </w:pPr>
    </w:p>
    <w:p w14:paraId="54677C22" w14:textId="77777777" w:rsidR="00075CF5" w:rsidRPr="00345713" w:rsidRDefault="001637DC" w:rsidP="00075CF5">
      <w:pPr>
        <w:spacing w:after="240"/>
      </w:pPr>
      <w:r>
        <w:t>do celów podpisania</w:t>
      </w:r>
      <w:r w:rsidR="00C24B90">
        <w:t xml:space="preserve"> i wyk</w:t>
      </w:r>
      <w:r>
        <w:t>onania umowy</w:t>
      </w:r>
      <w:r w:rsidR="00C24B90">
        <w:t xml:space="preserve"> o udz</w:t>
      </w:r>
      <w:r>
        <w:t>ielenie dotacji [</w:t>
      </w:r>
      <w:r>
        <w:rPr>
          <w:highlight w:val="lightGray"/>
        </w:rPr>
        <w:t>tytuł</w:t>
      </w:r>
      <w:r w:rsidR="00C24B90">
        <w:rPr>
          <w:highlight w:val="lightGray"/>
        </w:rPr>
        <w:t xml:space="preserve"> i num</w:t>
      </w:r>
      <w:r>
        <w:rPr>
          <w:highlight w:val="lightGray"/>
        </w:rPr>
        <w:t>er</w:t>
      </w:r>
      <w:r>
        <w:t>] zawartej</w:t>
      </w:r>
      <w:r w:rsidR="00C24B90">
        <w:t xml:space="preserve"> z Kom</w:t>
      </w:r>
      <w:r>
        <w:t>isją Europejską („umowa</w:t>
      </w:r>
      <w:r w:rsidR="00C24B90">
        <w:t xml:space="preserve"> o udz</w:t>
      </w:r>
      <w:r>
        <w:t>ielenie dotacji”) dotyczącej działania pt. [</w:t>
      </w:r>
      <w:r>
        <w:rPr>
          <w:highlight w:val="lightGray"/>
        </w:rPr>
        <w:t>wpisać tytuł działania] („działanie”)</w:t>
      </w:r>
    </w:p>
    <w:p w14:paraId="2112187E" w14:textId="77777777" w:rsidR="00075CF5" w:rsidRPr="00345713" w:rsidRDefault="00075CF5" w:rsidP="00075CF5">
      <w:pPr>
        <w:spacing w:after="240"/>
      </w:pPr>
      <w:r>
        <w:t>niniejszym:</w:t>
      </w:r>
    </w:p>
    <w:p w14:paraId="4E426214" w14:textId="77777777" w:rsidR="00075CF5" w:rsidRPr="00345713" w:rsidRDefault="00075CF5" w:rsidP="002C30C1">
      <w:r>
        <w:t>1. Udzielam pełnomocnictwa</w:t>
      </w:r>
    </w:p>
    <w:p w14:paraId="63B97DF8" w14:textId="77777777" w:rsidR="00075CF5" w:rsidRPr="00345713" w:rsidRDefault="00075CF5" w:rsidP="00075CF5">
      <w:pPr>
        <w:spacing w:after="240"/>
      </w:pPr>
      <w:r>
        <w:t>[</w:t>
      </w:r>
      <w:r>
        <w:rPr>
          <w:highlight w:val="lightGray"/>
        </w:rPr>
        <w:t>pełna oficjalna nazwa koordynatora</w:t>
      </w:r>
      <w:r>
        <w:t>] [</w:t>
      </w:r>
      <w:r>
        <w:rPr>
          <w:i/>
          <w:highlight w:val="lightGray"/>
        </w:rPr>
        <w:t>AKRONIM</w:t>
      </w:r>
      <w:r>
        <w:t>]</w:t>
      </w:r>
    </w:p>
    <w:p w14:paraId="5E2271BA" w14:textId="77777777" w:rsidR="00075CF5" w:rsidRPr="00345713" w:rsidRDefault="00075CF5" w:rsidP="00075CF5">
      <w:pPr>
        <w:spacing w:after="240"/>
      </w:pPr>
      <w:r>
        <w:t>[</w:t>
      </w:r>
      <w:r>
        <w:rPr>
          <w:i/>
          <w:highlight w:val="lightGray"/>
        </w:rPr>
        <w:t>oficjalny status prawny lub forma prawna</w:t>
      </w:r>
      <w:r>
        <w:t>]</w:t>
      </w:r>
    </w:p>
    <w:p w14:paraId="6A71D638" w14:textId="77777777" w:rsidR="00075CF5" w:rsidRPr="00345713" w:rsidRDefault="00075CF5" w:rsidP="00075CF5">
      <w:pPr>
        <w:spacing w:after="240"/>
        <w:rPr>
          <w:i/>
        </w:rPr>
      </w:pPr>
      <w:r>
        <w:lastRenderedPageBreak/>
        <w:t>[</w:t>
      </w:r>
      <w:r>
        <w:rPr>
          <w:i/>
          <w:highlight w:val="lightGray"/>
        </w:rPr>
        <w:t>oficjalny numer rejestracji</w:t>
      </w:r>
      <w:r>
        <w:t>]</w:t>
      </w:r>
      <w:r>
        <w:rPr>
          <w:rStyle w:val="Odwoanieprzypisudolnego"/>
        </w:rPr>
        <w:footnoteReference w:id="11"/>
      </w:r>
    </w:p>
    <w:p w14:paraId="2C340088" w14:textId="77777777" w:rsidR="00075CF5" w:rsidRPr="00345713" w:rsidRDefault="00075CF5" w:rsidP="00075CF5">
      <w:pPr>
        <w:spacing w:after="240"/>
      </w:pPr>
      <w:r>
        <w:t>[</w:t>
      </w:r>
      <w:r>
        <w:rPr>
          <w:highlight w:val="lightGray"/>
        </w:rPr>
        <w:t>dokładny oficjalny adres</w:t>
      </w:r>
      <w:r>
        <w:t>]</w:t>
      </w:r>
    </w:p>
    <w:p w14:paraId="6205213E" w14:textId="77777777" w:rsidR="00075CF5" w:rsidRPr="00345713" w:rsidRDefault="00075CF5" w:rsidP="00075CF5">
      <w:pPr>
        <w:spacing w:after="240"/>
      </w:pPr>
      <w:r>
        <w:t>[</w:t>
      </w:r>
      <w:r>
        <w:rPr>
          <w:i/>
          <w:highlight w:val="lightGray"/>
        </w:rPr>
        <w:t>numer VAT</w:t>
      </w:r>
      <w:r>
        <w:t>],</w:t>
      </w:r>
    </w:p>
    <w:p w14:paraId="79D93E6E" w14:textId="77777777" w:rsidR="00075CF5" w:rsidRPr="00345713" w:rsidRDefault="006C0E13" w:rsidP="00075CF5">
      <w:pPr>
        <w:spacing w:after="240"/>
      </w:pPr>
      <w:r>
        <w:t>reprezentowanemu przez [</w:t>
      </w:r>
      <w:r>
        <w:rPr>
          <w:highlight w:val="lightGray"/>
        </w:rPr>
        <w:t>imię, nazwisko</w:t>
      </w:r>
      <w:r w:rsidR="00C24B90">
        <w:rPr>
          <w:highlight w:val="lightGray"/>
        </w:rPr>
        <w:t xml:space="preserve"> i sta</w:t>
      </w:r>
      <w:r>
        <w:rPr>
          <w:highlight w:val="lightGray"/>
        </w:rPr>
        <w:t>nowisko przedstawiciela prawnego koordynatora</w:t>
      </w:r>
      <w:r>
        <w:t>] („koordynator”),</w:t>
      </w:r>
    </w:p>
    <w:p w14:paraId="1E3D0C48" w14:textId="77777777" w:rsidR="00075CF5" w:rsidRPr="00345713" w:rsidRDefault="00075CF5" w:rsidP="002C30C1">
      <w:r>
        <w:t>do podpisania</w:t>
      </w:r>
      <w:r w:rsidR="00C24B90">
        <w:t xml:space="preserve"> w moi</w:t>
      </w:r>
      <w:r>
        <w:t>m imieniu umowy</w:t>
      </w:r>
      <w:r w:rsidR="00C24B90">
        <w:t xml:space="preserve"> o udz</w:t>
      </w:r>
      <w:r>
        <w:t>ielenie dotacji</w:t>
      </w:r>
      <w:r w:rsidR="00C24B90">
        <w:t xml:space="preserve"> z Kom</w:t>
      </w:r>
      <w:r>
        <w:t>isją Europejską oraz jej możliwych zmian.</w:t>
      </w:r>
    </w:p>
    <w:p w14:paraId="270CE59F" w14:textId="77777777" w:rsidR="00075CF5" w:rsidRPr="00345713" w:rsidRDefault="00075CF5" w:rsidP="002C30C1">
      <w:pPr>
        <w:rPr>
          <w:szCs w:val="24"/>
        </w:rPr>
      </w:pPr>
      <w:r>
        <w:t>2. Udzielam koordynatorowi pełnomocnictwa do działania</w:t>
      </w:r>
      <w:r w:rsidR="00C24B90">
        <w:t xml:space="preserve"> w imi</w:t>
      </w:r>
      <w:r>
        <w:t>eniu beneficjenta zgodnie</w:t>
      </w:r>
      <w:r w:rsidR="00C24B90">
        <w:t xml:space="preserve"> z umo</w:t>
      </w:r>
      <w:r>
        <w:t>wą</w:t>
      </w:r>
      <w:r w:rsidR="00C24B90">
        <w:t xml:space="preserve"> o udz</w:t>
      </w:r>
      <w:r>
        <w:t>ielenie dotacji.</w:t>
      </w:r>
    </w:p>
    <w:p w14:paraId="34D1D8D5" w14:textId="77777777" w:rsidR="00075CF5" w:rsidRPr="00345713" w:rsidRDefault="00075CF5" w:rsidP="002C30C1">
      <w:pPr>
        <w:rPr>
          <w:szCs w:val="24"/>
        </w:rPr>
      </w:pPr>
      <w:r>
        <w:t>Niniejszym potwierdzam, że beneficjent przyjmuje wszystkie warunki umowy</w:t>
      </w:r>
      <w:r w:rsidR="00C24B90">
        <w:t xml:space="preserve"> o udz</w:t>
      </w:r>
      <w:r>
        <w:t>ielenie dotacji oraz,</w:t>
      </w:r>
      <w:r w:rsidR="00C24B90">
        <w:t xml:space="preserve"> w szc</w:t>
      </w:r>
      <w:r>
        <w:t>zególności, wszystkie postanowienia mające wpływ na koordynatora</w:t>
      </w:r>
      <w:r w:rsidR="00C24B90">
        <w:t xml:space="preserve"> i poz</w:t>
      </w:r>
      <w:r>
        <w:t>ostałych beneficjentów</w:t>
      </w:r>
      <w:r w:rsidR="00C24B90">
        <w:t>. W szc</w:t>
      </w:r>
      <w:r>
        <w:t>zególności przyjmuję do wiadomości fakt, iż na mocy niniejszego pełnomocnictwa koordynator jest uprawniony do otrzymywania płatności ze strony Komisji i do ich podziału pomiędzy beneficjentów</w:t>
      </w:r>
      <w:r w:rsidR="00C24B90">
        <w:t xml:space="preserve"> w zal</w:t>
      </w:r>
      <w:r>
        <w:t>eżności od ich udziału</w:t>
      </w:r>
      <w:r w:rsidR="00C24B90">
        <w:t xml:space="preserve"> w dzi</w:t>
      </w:r>
      <w:r>
        <w:t>ałaniu.</w:t>
      </w:r>
    </w:p>
    <w:p w14:paraId="71783593" w14:textId="77777777" w:rsidR="00075CF5" w:rsidRPr="00345713" w:rsidRDefault="00075CF5" w:rsidP="002C30C1">
      <w:pPr>
        <w:rPr>
          <w:szCs w:val="24"/>
        </w:rPr>
      </w:pPr>
      <w:r>
        <w:t>Niniejszym przyjmuję do wiadomości fakt, że beneficjent dołoży wszelkich starań, aby zapewnić koordynatorowi wsparcie</w:t>
      </w:r>
      <w:r w:rsidR="00C24B90">
        <w:t xml:space="preserve"> w wyp</w:t>
      </w:r>
      <w:r>
        <w:t>ełnianiu jego zobowiązań na mocy umowy</w:t>
      </w:r>
      <w:r w:rsidR="00C24B90">
        <w:t xml:space="preserve"> o udz</w:t>
      </w:r>
      <w:r>
        <w:t>ielenie dotacji,</w:t>
      </w:r>
      <w:r w:rsidR="00C24B90">
        <w:t xml:space="preserve"> a w szc</w:t>
      </w:r>
      <w:r>
        <w:t>zególności aby dostarczać koordynatorowi, na jego wniosek, wszelkich dokumentów lub informacji, które mogą być wymagane.</w:t>
      </w:r>
    </w:p>
    <w:p w14:paraId="2BAC2C35" w14:textId="77777777" w:rsidR="00075CF5" w:rsidRPr="00345713" w:rsidRDefault="00075CF5" w:rsidP="002C30C1">
      <w:pPr>
        <w:rPr>
          <w:szCs w:val="24"/>
        </w:rPr>
      </w:pPr>
      <w:r>
        <w:t>Niniejszym oświadczam, że beneficjent wyraża zgodę, aby postanowienia umowy</w:t>
      </w:r>
      <w:r w:rsidR="00C24B90">
        <w:t xml:space="preserve"> o udz</w:t>
      </w:r>
      <w:r>
        <w:t>ielenie dotacji,</w:t>
      </w:r>
      <w:r w:rsidR="00C24B90">
        <w:t xml:space="preserve"> w tym</w:t>
      </w:r>
      <w:r>
        <w:t xml:space="preserve"> niniejszego pełnomocnictwa, były nadrzędne wobec postanowień wszelkich innych umów zawartych między beneficjentem</w:t>
      </w:r>
      <w:r w:rsidR="00C24B90">
        <w:t xml:space="preserve"> a koo</w:t>
      </w:r>
      <w:r>
        <w:t>rdynatorem, które mogłyby wywrzeć wpływ na wykonanie umowy</w:t>
      </w:r>
      <w:r w:rsidR="00C24B90">
        <w:t xml:space="preserve"> o udz</w:t>
      </w:r>
      <w:r>
        <w:t>ielenie dotacji.</w:t>
      </w:r>
    </w:p>
    <w:p w14:paraId="0728C500" w14:textId="77777777" w:rsidR="00075CF5" w:rsidRPr="00345713" w:rsidRDefault="00075CF5" w:rsidP="002C30C1">
      <w:pPr>
        <w:rPr>
          <w:szCs w:val="24"/>
        </w:rPr>
      </w:pPr>
      <w:r>
        <w:t>Niniejsze pełnomocnictwo stanowi załącznik do umowy</w:t>
      </w:r>
      <w:r w:rsidR="00C24B90">
        <w:t xml:space="preserve"> o udz</w:t>
      </w:r>
      <w:r>
        <w:t>ielenie dotacji</w:t>
      </w:r>
      <w:r w:rsidR="00C24B90">
        <w:t xml:space="preserve"> i sta</w:t>
      </w:r>
      <w:r>
        <w:t>nowi integralną część tej umowy.</w:t>
      </w:r>
    </w:p>
    <w:p w14:paraId="421A3903" w14:textId="77777777" w:rsidR="00075CF5" w:rsidRPr="00345713" w:rsidRDefault="00075CF5" w:rsidP="002C30C1">
      <w:pPr>
        <w:rPr>
          <w:szCs w:val="24"/>
        </w:rPr>
      </w:pPr>
    </w:p>
    <w:p w14:paraId="030A01C8" w14:textId="77777777" w:rsidR="00075CF5" w:rsidRPr="00345713" w:rsidRDefault="00075CF5" w:rsidP="00075CF5">
      <w:pPr>
        <w:spacing w:after="240"/>
        <w:ind w:left="5812" w:hanging="5812"/>
      </w:pPr>
      <w:r>
        <w:t>PODPIS</w:t>
      </w:r>
    </w:p>
    <w:p w14:paraId="31F31965" w14:textId="77777777" w:rsidR="00075CF5" w:rsidRPr="00345713" w:rsidRDefault="00075CF5" w:rsidP="00DB272D">
      <w:pPr>
        <w:tabs>
          <w:tab w:val="left" w:pos="5812"/>
        </w:tabs>
        <w:spacing w:after="0"/>
      </w:pPr>
      <w:r>
        <w:t>[</w:t>
      </w:r>
      <w:r>
        <w:rPr>
          <w:highlight w:val="lightGray"/>
        </w:rPr>
        <w:t>imię, nazwisko</w:t>
      </w:r>
      <w:r w:rsidR="00C24B90">
        <w:rPr>
          <w:highlight w:val="lightGray"/>
        </w:rPr>
        <w:t xml:space="preserve"> i sta</w:t>
      </w:r>
      <w:r>
        <w:rPr>
          <w:highlight w:val="lightGray"/>
        </w:rPr>
        <w:t>nowisko przedstawiciela prawnego beneficjenta udzielającego upoważnienia</w:t>
      </w:r>
      <w:r>
        <w:t>]</w:t>
      </w:r>
    </w:p>
    <w:p w14:paraId="5621F2F6" w14:textId="77777777" w:rsidR="00075CF5" w:rsidRPr="00345713" w:rsidRDefault="00075CF5" w:rsidP="00075CF5">
      <w:pPr>
        <w:spacing w:after="240"/>
      </w:pPr>
    </w:p>
    <w:p w14:paraId="6F72ABD8" w14:textId="77777777" w:rsidR="00075CF5" w:rsidRPr="00345713" w:rsidRDefault="00075CF5" w:rsidP="00075CF5">
      <w:pPr>
        <w:spacing w:after="240"/>
        <w:ind w:left="5812" w:hanging="5812"/>
      </w:pPr>
      <w:r>
        <w:t>[</w:t>
      </w:r>
      <w:r>
        <w:rPr>
          <w:highlight w:val="lightGray"/>
        </w:rPr>
        <w:t>podpis</w:t>
      </w:r>
      <w:r>
        <w:t>]</w:t>
      </w:r>
      <w:r>
        <w:tab/>
      </w:r>
    </w:p>
    <w:p w14:paraId="1D376D90" w14:textId="77777777" w:rsidR="00075CF5" w:rsidRPr="00345713" w:rsidRDefault="00075CF5" w:rsidP="00075CF5">
      <w:pPr>
        <w:spacing w:after="240"/>
      </w:pPr>
    </w:p>
    <w:p w14:paraId="7272FCF5" w14:textId="77777777" w:rsidR="00075CF5" w:rsidRPr="00345713" w:rsidRDefault="00075CF5" w:rsidP="00075CF5">
      <w:pPr>
        <w:tabs>
          <w:tab w:val="left" w:pos="5812"/>
        </w:tabs>
        <w:spacing w:after="240"/>
      </w:pPr>
      <w:r>
        <w:lastRenderedPageBreak/>
        <w:t>Sporządzono w [</w:t>
      </w:r>
      <w:r>
        <w:rPr>
          <w:highlight w:val="lightGray"/>
        </w:rPr>
        <w:t>miejscowość</w:t>
      </w:r>
      <w:r>
        <w:t>] dnia [</w:t>
      </w:r>
      <w:r>
        <w:rPr>
          <w:highlight w:val="lightGray"/>
        </w:rPr>
        <w:t>data</w:t>
      </w:r>
      <w:r>
        <w:t>] r.</w:t>
      </w:r>
      <w:r>
        <w:tab/>
      </w:r>
    </w:p>
    <w:p w14:paraId="405F466E" w14:textId="77777777" w:rsidR="00884D27" w:rsidRPr="00345713" w:rsidRDefault="00075CF5" w:rsidP="006436C7">
      <w:pPr>
        <w:rPr>
          <w:szCs w:val="24"/>
        </w:rPr>
      </w:pPr>
      <w:r>
        <w:t>W dwóch jednobrzmiących egzemplarzach</w:t>
      </w:r>
      <w:r w:rsidR="00C24B90">
        <w:t xml:space="preserve"> w jęz</w:t>
      </w:r>
      <w:r>
        <w:t xml:space="preserve">yku polskim] </w:t>
      </w:r>
      <w:bookmarkEnd w:id="4"/>
    </w:p>
    <w:sectPr w:rsidR="00884D27" w:rsidRPr="00345713" w:rsidSect="00BF4ABF">
      <w:pgSz w:w="11906" w:h="16838" w:code="9"/>
      <w:pgMar w:top="1304" w:right="1418" w:bottom="130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D04C9" w14:textId="77777777" w:rsidR="00C24B90" w:rsidRPr="00345713" w:rsidRDefault="00C24B90" w:rsidP="009533DC">
      <w:pPr>
        <w:spacing w:after="0"/>
      </w:pPr>
      <w:r>
        <w:separator/>
      </w:r>
    </w:p>
  </w:endnote>
  <w:endnote w:type="continuationSeparator" w:id="0">
    <w:p w14:paraId="30C997C2" w14:textId="77777777" w:rsidR="00C24B90" w:rsidRPr="00345713" w:rsidRDefault="00C24B90" w:rsidP="009533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C7E9F" w14:textId="77777777" w:rsidR="00C24B90" w:rsidRPr="00345713" w:rsidRDefault="00C24B90" w:rsidP="00BF4ABF">
    <w:pPr>
      <w:pStyle w:val="Stopka"/>
      <w:jc w:val="right"/>
    </w:pPr>
    <w:r w:rsidRPr="00345713">
      <w:fldChar w:fldCharType="begin"/>
    </w:r>
    <w:r w:rsidRPr="00345713">
      <w:instrText xml:space="preserve"> PAGE   \* MERGEFORMAT </w:instrText>
    </w:r>
    <w:r w:rsidRPr="00345713">
      <w:fldChar w:fldCharType="separate"/>
    </w:r>
    <w:r w:rsidR="006529D8">
      <w:rPr>
        <w:noProof/>
      </w:rPr>
      <w:t>1</w:t>
    </w:r>
    <w:r w:rsidRPr="0034571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DB484" w14:textId="77777777" w:rsidR="00C24B90" w:rsidRPr="00345713" w:rsidRDefault="00C24B90" w:rsidP="009533DC">
      <w:pPr>
        <w:spacing w:after="0"/>
      </w:pPr>
      <w:r>
        <w:separator/>
      </w:r>
    </w:p>
  </w:footnote>
  <w:footnote w:type="continuationSeparator" w:id="0">
    <w:p w14:paraId="4F984023" w14:textId="77777777" w:rsidR="00C24B90" w:rsidRPr="00345713" w:rsidRDefault="00C24B90" w:rsidP="009533DC">
      <w:pPr>
        <w:spacing w:after="0"/>
      </w:pPr>
      <w:r>
        <w:continuationSeparator/>
      </w:r>
    </w:p>
  </w:footnote>
  <w:footnote w:id="1">
    <w:p w14:paraId="3E8A1FDA" w14:textId="77777777" w:rsidR="00C24B90" w:rsidRPr="00345713" w:rsidRDefault="00C24B90" w:rsidP="006C78A9">
      <w:pPr>
        <w:spacing w:after="0"/>
        <w:ind w:left="426" w:hanging="426"/>
      </w:pPr>
      <w:r>
        <w:rPr>
          <w:rStyle w:val="Odwoanieprzypisudolnego"/>
        </w:rPr>
        <w:footnoteRef/>
      </w:r>
      <w:r>
        <w:t xml:space="preserve"> </w:t>
      </w:r>
      <w:r>
        <w:tab/>
      </w:r>
      <w:r>
        <w:rPr>
          <w:sz w:val="20"/>
        </w:rPr>
        <w:t>Rozporządzenie Parlamentu Europejskiego i Rady (UE) 2018/1725 z dnia 23 października 20</w:t>
      </w:r>
      <w:r w:rsidRPr="00C24B90">
        <w:rPr>
          <w:sz w:val="20"/>
        </w:rPr>
        <w:t>18 r.</w:t>
      </w:r>
      <w:r>
        <w:rPr>
          <w:sz w:val="20"/>
        </w:rPr>
        <w:t xml:space="preserve"> w sprawie ochrony osób fizycznych w związku z przetwarzaniem danych osobowych przez instytucje, organy i jednostki organizacyjne Unii i swobodnego przepływu takich danych oraz uchylenia rozporządzenia (WE) </w:t>
      </w:r>
      <w:r w:rsidRPr="00C24B90">
        <w:rPr>
          <w:sz w:val="20"/>
        </w:rPr>
        <w:t>nr 4</w:t>
      </w:r>
      <w:r>
        <w:rPr>
          <w:sz w:val="20"/>
        </w:rPr>
        <w:t xml:space="preserve">5/2001 i decyzji </w:t>
      </w:r>
      <w:r w:rsidRPr="00C24B90">
        <w:rPr>
          <w:sz w:val="20"/>
        </w:rPr>
        <w:t>nr 1</w:t>
      </w:r>
      <w:r>
        <w:rPr>
          <w:sz w:val="20"/>
        </w:rPr>
        <w:t>247/2002/WE.</w:t>
      </w:r>
    </w:p>
  </w:footnote>
  <w:footnote w:id="2">
    <w:p w14:paraId="53F4BDB1" w14:textId="77777777" w:rsidR="00C24B90" w:rsidRPr="00572B62" w:rsidRDefault="00C24B90">
      <w:pPr>
        <w:pStyle w:val="Tekstprzypisudolnego"/>
      </w:pPr>
      <w:r>
        <w:rPr>
          <w:rStyle w:val="Odwoanieprzypisudolnego"/>
        </w:rPr>
        <w:footnoteRef/>
      </w:r>
      <w:r>
        <w:t xml:space="preserve"> Dyrektywa Parlamentu Europejskiego i Rady 2014/24/UE z dnia 26 lutego 20</w:t>
      </w:r>
      <w:r w:rsidRPr="00C24B90">
        <w:t>14 r.</w:t>
      </w:r>
      <w:r>
        <w:t xml:space="preserve"> w sprawie zamówień publicznych, uchylająca dyrektywę 2004/18/WE.</w:t>
      </w:r>
    </w:p>
  </w:footnote>
  <w:footnote w:id="3">
    <w:p w14:paraId="6F1E24C9" w14:textId="77777777" w:rsidR="00C24B90" w:rsidRPr="00A6537C" w:rsidRDefault="00C24B90" w:rsidP="00A6537C">
      <w:pPr>
        <w:pStyle w:val="Tekstprzypisudolnego"/>
      </w:pPr>
      <w:r>
        <w:rPr>
          <w:rStyle w:val="Odwoanieprzypisudolnego"/>
        </w:rPr>
        <w:footnoteRef/>
      </w:r>
      <w:r>
        <w:t xml:space="preserve"> Dyrektywa Parlamentu Europejskiego i Rady 2014/25/UE z dnia 26 lutego 20</w:t>
      </w:r>
      <w:r w:rsidRPr="00C24B90">
        <w:t>14 r.</w:t>
      </w:r>
      <w:r>
        <w:t xml:space="preserve"> w sprawie udzielania zamówień przez podmioty działające w sektorach gospodarki wodnej, energetyki, transportu i usług pocztowych, uchylająca dyrektywę 2004/17/WE.</w:t>
      </w:r>
    </w:p>
    <w:p w14:paraId="72762C07" w14:textId="77777777" w:rsidR="00C24B90" w:rsidRPr="00572B62" w:rsidRDefault="00C24B90">
      <w:pPr>
        <w:pStyle w:val="Tekstprzypisudolnego"/>
      </w:pPr>
    </w:p>
  </w:footnote>
  <w:footnote w:id="4">
    <w:p w14:paraId="3A83EFDF" w14:textId="77777777" w:rsidR="00C24B90" w:rsidRPr="00345713" w:rsidRDefault="00C24B90" w:rsidP="00470847">
      <w:pPr>
        <w:pStyle w:val="Tekstprzypisudolnego"/>
      </w:pPr>
      <w:r>
        <w:rPr>
          <w:rStyle w:val="Odwoanieprzypisudolnego"/>
        </w:rPr>
        <w:footnoteRef/>
      </w:r>
      <w:r>
        <w:t xml:space="preserve"> Dyrektywa 2007/64/WE</w:t>
      </w:r>
      <w:r>
        <w:rPr>
          <w:rStyle w:val="Odwoanieprzypisudolnego"/>
        </w:rPr>
        <w:footnoteRef/>
      </w:r>
      <w:r>
        <w:t xml:space="preserve"> Parlamentu Europejskiego i Rady z dnia 13 listopada 20</w:t>
      </w:r>
      <w:r w:rsidRPr="00C24B90">
        <w:t>07 r.</w:t>
      </w:r>
      <w:r>
        <w:t xml:space="preserve"> w sprawie usług płatniczych w ramach rynku wewnętrznego zmieniająca dyrektywy 97/7/WE, 2002/65/WE, 2005/60/WE i 2006/48/WE i uchylająca dyrektywę 97/5/WE.</w:t>
      </w:r>
    </w:p>
  </w:footnote>
  <w:footnote w:id="5">
    <w:p w14:paraId="72960411" w14:textId="77777777" w:rsidR="00C24B90" w:rsidRPr="00345713" w:rsidRDefault="00C24B90">
      <w:pPr>
        <w:pStyle w:val="Tekstprzypisudolnego"/>
      </w:pPr>
      <w:r>
        <w:rPr>
          <w:rStyle w:val="Odwoanieprzypisudolnego"/>
        </w:rPr>
        <w:footnoteRef/>
      </w:r>
      <w:r>
        <w:t xml:space="preserve"> Rozporządzenie Rady (</w:t>
      </w:r>
      <w:r>
        <w:t xml:space="preserve">Euratom, WE) </w:t>
      </w:r>
      <w:r w:rsidRPr="00C24B90">
        <w:t>nr 2</w:t>
      </w:r>
      <w:r>
        <w:t>185/96 z dnia 11 listopada 19</w:t>
      </w:r>
      <w:r w:rsidRPr="00C24B90">
        <w:t>96 r.</w:t>
      </w:r>
      <w:r>
        <w:t xml:space="preserve"> w sprawie kontroli na miejscu oraz inspekcji przeprowadzanych przez Komisję w celu ochrony interesów finansowych Wspólnot Europejskich przed nadużyciami finansowymi i innymi nieprawidłowościami.</w:t>
      </w:r>
    </w:p>
  </w:footnote>
  <w:footnote w:id="6">
    <w:p w14:paraId="0026FA03" w14:textId="77777777" w:rsidR="00C24B90" w:rsidRPr="00345713" w:rsidRDefault="00C24B90">
      <w:pPr>
        <w:pStyle w:val="Tekstprzypisudolnego"/>
      </w:pPr>
      <w:r>
        <w:rPr>
          <w:rStyle w:val="Odwoanieprzypisudolnego"/>
        </w:rPr>
        <w:footnoteRef/>
      </w:r>
      <w:r>
        <w:t xml:space="preserve"> Rozporządzenie Parlamentu Europejskiego i Rady (UE, </w:t>
      </w:r>
      <w:r>
        <w:t xml:space="preserve">Euratom) </w:t>
      </w:r>
      <w:r w:rsidRPr="00C24B90">
        <w:t>nr 8</w:t>
      </w:r>
      <w:r>
        <w:t>83/2013 z dnia 11 września 20</w:t>
      </w:r>
      <w:r w:rsidRPr="00C24B90">
        <w:t>13 r.</w:t>
      </w:r>
      <w:r>
        <w:t xml:space="preserve"> dotyczące dochodzeń prowadzonych przez Europejski Urząd ds. Zwalczania Nadużyć Finansowych (OLAF).</w:t>
      </w:r>
    </w:p>
  </w:footnote>
  <w:footnote w:id="7">
    <w:p w14:paraId="7252060D" w14:textId="77777777" w:rsidR="00C24B90" w:rsidRDefault="00C24B90">
      <w:pPr>
        <w:pStyle w:val="Tekstprzypisudolnego"/>
      </w:pPr>
      <w:r>
        <w:rPr>
          <w:rStyle w:val="Odwoanieprzypisudolnego"/>
        </w:rPr>
        <w:footnoteRef/>
      </w:r>
      <w:r>
        <w:t xml:space="preserve"> Rozporządzenie Rady (UE) 2017/1939 z dnia 12 października 20</w:t>
      </w:r>
      <w:r w:rsidRPr="00C24B90">
        <w:t>17 r.</w:t>
      </w:r>
      <w:r>
        <w:t xml:space="preserve"> wdrażające wzmocnioną współpracę w zakresie ustanowienia Prokuratury Europejskiej.</w:t>
      </w:r>
    </w:p>
  </w:footnote>
  <w:footnote w:id="8">
    <w:p w14:paraId="4FBF0D12" w14:textId="77777777" w:rsidR="00C24B90" w:rsidRPr="00FA6C2A" w:rsidRDefault="00C24B90" w:rsidP="00075CF5">
      <w:pPr>
        <w:pStyle w:val="Tekstprzypisudolnego"/>
        <w:spacing w:after="0"/>
        <w:ind w:left="284" w:hanging="284"/>
        <w:rPr>
          <w:color w:val="0070C0"/>
        </w:rPr>
      </w:pPr>
      <w:r>
        <w:rPr>
          <w:rStyle w:val="Odwoanieprzypisudolnego"/>
          <w:color w:val="0070C0"/>
          <w:sz w:val="24"/>
        </w:rPr>
        <w:footnoteRef/>
      </w:r>
      <w:r>
        <w:tab/>
      </w:r>
      <w:r>
        <w:rPr>
          <w:color w:val="0070C0"/>
          <w:sz w:val="18"/>
        </w:rPr>
        <w:t>Każdemu beneficjentowi poza koordynatorem należy przekazać jeden egzemplarz niniejszego załącznika w wersji oryginalnej.</w:t>
      </w:r>
    </w:p>
  </w:footnote>
  <w:footnote w:id="9">
    <w:p w14:paraId="6F65466D" w14:textId="77777777" w:rsidR="00C24B90" w:rsidRPr="00FA6C2A" w:rsidRDefault="00C24B90" w:rsidP="002329D2">
      <w:pPr>
        <w:pStyle w:val="Tekstprzypisudolnego"/>
        <w:spacing w:after="0"/>
        <w:rPr>
          <w:color w:val="0070C0"/>
        </w:rPr>
      </w:pPr>
      <w:r>
        <w:rPr>
          <w:rStyle w:val="Odwoanieprzypisudolnego"/>
          <w:color w:val="0070C0"/>
        </w:rPr>
        <w:footnoteRef/>
      </w:r>
      <w:r>
        <w:rPr>
          <w:color w:val="0070C0"/>
        </w:rPr>
        <w:t xml:space="preserve"> </w:t>
      </w:r>
      <w:r>
        <w:rPr>
          <w:color w:val="0070C0"/>
          <w:sz w:val="18"/>
        </w:rPr>
        <w:t>Do usunięcia lub wypełnienia zgodnie z formularzem „Osoba prawna”.</w:t>
      </w:r>
    </w:p>
  </w:footnote>
  <w:footnote w:id="10">
    <w:p w14:paraId="1B4BAA1A" w14:textId="77777777" w:rsidR="00C24B90" w:rsidRPr="00FA6C2A" w:rsidRDefault="00C24B90" w:rsidP="00075CF5">
      <w:pPr>
        <w:pStyle w:val="Tekstprzypisudolnego"/>
        <w:spacing w:after="0"/>
        <w:ind w:left="284" w:hanging="284"/>
        <w:rPr>
          <w:color w:val="0070C0"/>
          <w:highlight w:val="yellow"/>
        </w:rPr>
      </w:pPr>
      <w:r>
        <w:rPr>
          <w:rStyle w:val="Odwoanieprzypisudolnego"/>
          <w:color w:val="0070C0"/>
          <w:sz w:val="24"/>
        </w:rPr>
        <w:footnoteRef/>
      </w:r>
      <w:r>
        <w:tab/>
      </w:r>
      <w:r>
        <w:rPr>
          <w:color w:val="0070C0"/>
          <w:sz w:val="18"/>
        </w:rPr>
        <w:t>Do usunięcia lub wypełnienia zgodnie z formularzem „Osoba prawna”.</w:t>
      </w:r>
    </w:p>
  </w:footnote>
  <w:footnote w:id="11">
    <w:p w14:paraId="40C96D81" w14:textId="77777777" w:rsidR="00C24B90" w:rsidRPr="00FA6C2A" w:rsidRDefault="00C24B90" w:rsidP="00A6537C">
      <w:pPr>
        <w:pStyle w:val="Tekstprzypisudolnego"/>
        <w:spacing w:after="0"/>
        <w:ind w:left="284" w:hanging="284"/>
        <w:rPr>
          <w:color w:val="0070C0"/>
        </w:rPr>
      </w:pPr>
      <w:r>
        <w:rPr>
          <w:rStyle w:val="Odwoanieprzypisudolnego"/>
          <w:color w:val="0070C0"/>
          <w:sz w:val="24"/>
        </w:rPr>
        <w:footnoteRef/>
      </w:r>
      <w:r>
        <w:tab/>
      </w:r>
      <w:r>
        <w:rPr>
          <w:color w:val="0070C0"/>
          <w:sz w:val="18"/>
        </w:rPr>
        <w:t>Do usunięcia lub wypełnienia zgodnie z formularzem „Osoba prawna”.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143D1" w14:textId="77777777" w:rsidR="00C24B90" w:rsidRDefault="00C24B90" w:rsidP="00D66071">
    <w:pPr>
      <w:pStyle w:val="Nagwek"/>
      <w:spacing w:after="0" w:afterAutospacing="0"/>
      <w:rPr>
        <w:sz w:val="18"/>
      </w:rPr>
    </w:pPr>
    <w:r>
      <w:tab/>
    </w:r>
    <w:r>
      <w:tab/>
    </w:r>
  </w:p>
  <w:p w14:paraId="19137A00" w14:textId="1A8804FD" w:rsidR="00C24B90" w:rsidRPr="00345713" w:rsidRDefault="00C24B90" w:rsidP="00D66071">
    <w:pPr>
      <w:pStyle w:val="Nagwek"/>
      <w:spacing w:before="0" w:beforeAutospacing="0"/>
      <w:jc w:val="right"/>
    </w:pPr>
    <w:r>
      <w:rPr>
        <w:sz w:val="18"/>
      </w:rPr>
      <w:t>Wzó</w:t>
    </w:r>
    <w:r w:rsidR="00BD6D27">
      <w:rPr>
        <w:sz w:val="18"/>
      </w:rPr>
      <w:t>r umowy dla wielu beneficjentów 20</w:t>
    </w:r>
    <w:r w:rsidR="00502B3A">
      <w:rPr>
        <w:sz w:val="18"/>
      </w:rPr>
      <w:t>2</w:t>
    </w:r>
    <w:r w:rsidR="00B651B9">
      <w:rPr>
        <w:sz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7F0E"/>
    <w:multiLevelType w:val="hybridMultilevel"/>
    <w:tmpl w:val="D9BC9F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F2DEC"/>
    <w:multiLevelType w:val="hybridMultilevel"/>
    <w:tmpl w:val="767010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652B5"/>
    <w:multiLevelType w:val="multilevel"/>
    <w:tmpl w:val="B10A6748"/>
    <w:lvl w:ilvl="0">
      <w:start w:val="1"/>
      <w:numFmt w:val="decimal"/>
      <w:pStyle w:val="Listanumerowana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57A47F2"/>
    <w:multiLevelType w:val="hybridMultilevel"/>
    <w:tmpl w:val="3EEAE9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B75D1B"/>
    <w:multiLevelType w:val="hybridMultilevel"/>
    <w:tmpl w:val="C2CE08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C3189B"/>
    <w:multiLevelType w:val="hybridMultilevel"/>
    <w:tmpl w:val="54A46B8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7704EF"/>
    <w:multiLevelType w:val="hybridMultilevel"/>
    <w:tmpl w:val="4AEEDCD0"/>
    <w:lvl w:ilvl="0" w:tplc="08090017">
      <w:start w:val="1"/>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7" w15:restartNumberingAfterBreak="0">
    <w:nsid w:val="0BCA071B"/>
    <w:multiLevelType w:val="hybridMultilevel"/>
    <w:tmpl w:val="3FD090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FE3585"/>
    <w:multiLevelType w:val="hybridMultilevel"/>
    <w:tmpl w:val="AF10A6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C106D0"/>
    <w:multiLevelType w:val="hybridMultilevel"/>
    <w:tmpl w:val="2F66B6A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FC612A"/>
    <w:multiLevelType w:val="hybridMultilevel"/>
    <w:tmpl w:val="88349B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8C0461"/>
    <w:multiLevelType w:val="hybridMultilevel"/>
    <w:tmpl w:val="C7907F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29639D"/>
    <w:multiLevelType w:val="hybridMultilevel"/>
    <w:tmpl w:val="87E860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262685D"/>
    <w:multiLevelType w:val="singleLevel"/>
    <w:tmpl w:val="D96C95A2"/>
    <w:lvl w:ilvl="0">
      <w:start w:val="1"/>
      <w:numFmt w:val="bullet"/>
      <w:pStyle w:val="Listapunktowana4"/>
      <w:lvlText w:val=""/>
      <w:lvlJc w:val="left"/>
      <w:pPr>
        <w:tabs>
          <w:tab w:val="num" w:pos="3163"/>
        </w:tabs>
        <w:ind w:left="3163" w:hanging="283"/>
      </w:pPr>
      <w:rPr>
        <w:rFonts w:ascii="Symbol" w:hAnsi="Symbol"/>
      </w:rPr>
    </w:lvl>
  </w:abstractNum>
  <w:abstractNum w:abstractNumId="14" w15:restartNumberingAfterBreak="0">
    <w:nsid w:val="14176743"/>
    <w:multiLevelType w:val="hybridMultilevel"/>
    <w:tmpl w:val="C5A606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43D0A16"/>
    <w:multiLevelType w:val="singleLevel"/>
    <w:tmpl w:val="01FA5668"/>
    <w:lvl w:ilvl="0">
      <w:start w:val="1"/>
      <w:numFmt w:val="bullet"/>
      <w:pStyle w:val="Listapunktowana3"/>
      <w:lvlText w:val=""/>
      <w:lvlJc w:val="left"/>
      <w:pPr>
        <w:tabs>
          <w:tab w:val="num" w:pos="2199"/>
        </w:tabs>
        <w:ind w:left="2199" w:hanging="283"/>
      </w:pPr>
      <w:rPr>
        <w:rFonts w:ascii="Symbol" w:hAnsi="Symbol"/>
      </w:rPr>
    </w:lvl>
  </w:abstractNum>
  <w:abstractNum w:abstractNumId="16" w15:restartNumberingAfterBreak="0">
    <w:nsid w:val="14C34250"/>
    <w:multiLevelType w:val="hybridMultilevel"/>
    <w:tmpl w:val="4852BEAE"/>
    <w:lvl w:ilvl="0" w:tplc="85F44E24">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7D0295C"/>
    <w:multiLevelType w:val="hybridMultilevel"/>
    <w:tmpl w:val="22A8F57A"/>
    <w:lvl w:ilvl="0" w:tplc="94F2B4EE">
      <w:start w:val="1"/>
      <w:numFmt w:val="lowerRoman"/>
      <w:lvlText w:val="(%1)"/>
      <w:lvlJc w:val="left"/>
      <w:pPr>
        <w:ind w:left="1332" w:hanging="360"/>
      </w:pPr>
      <w:rPr>
        <w:rFonts w:hint="default"/>
      </w:rPr>
    </w:lvl>
    <w:lvl w:ilvl="1" w:tplc="08090019" w:tentative="1">
      <w:start w:val="1"/>
      <w:numFmt w:val="lowerLetter"/>
      <w:lvlText w:val="%2."/>
      <w:lvlJc w:val="left"/>
      <w:pPr>
        <w:ind w:left="2052" w:hanging="360"/>
      </w:pPr>
    </w:lvl>
    <w:lvl w:ilvl="2" w:tplc="0809001B" w:tentative="1">
      <w:start w:val="1"/>
      <w:numFmt w:val="lowerRoman"/>
      <w:lvlText w:val="%3."/>
      <w:lvlJc w:val="right"/>
      <w:pPr>
        <w:ind w:left="2772" w:hanging="180"/>
      </w:pPr>
    </w:lvl>
    <w:lvl w:ilvl="3" w:tplc="0809000F" w:tentative="1">
      <w:start w:val="1"/>
      <w:numFmt w:val="decimal"/>
      <w:lvlText w:val="%4."/>
      <w:lvlJc w:val="left"/>
      <w:pPr>
        <w:ind w:left="3492" w:hanging="360"/>
      </w:pPr>
    </w:lvl>
    <w:lvl w:ilvl="4" w:tplc="08090019" w:tentative="1">
      <w:start w:val="1"/>
      <w:numFmt w:val="lowerLetter"/>
      <w:lvlText w:val="%5."/>
      <w:lvlJc w:val="left"/>
      <w:pPr>
        <w:ind w:left="4212" w:hanging="360"/>
      </w:pPr>
    </w:lvl>
    <w:lvl w:ilvl="5" w:tplc="0809001B" w:tentative="1">
      <w:start w:val="1"/>
      <w:numFmt w:val="lowerRoman"/>
      <w:lvlText w:val="%6."/>
      <w:lvlJc w:val="right"/>
      <w:pPr>
        <w:ind w:left="4932" w:hanging="180"/>
      </w:pPr>
    </w:lvl>
    <w:lvl w:ilvl="6" w:tplc="0809000F" w:tentative="1">
      <w:start w:val="1"/>
      <w:numFmt w:val="decimal"/>
      <w:lvlText w:val="%7."/>
      <w:lvlJc w:val="left"/>
      <w:pPr>
        <w:ind w:left="5652" w:hanging="360"/>
      </w:pPr>
    </w:lvl>
    <w:lvl w:ilvl="7" w:tplc="08090019" w:tentative="1">
      <w:start w:val="1"/>
      <w:numFmt w:val="lowerLetter"/>
      <w:lvlText w:val="%8."/>
      <w:lvlJc w:val="left"/>
      <w:pPr>
        <w:ind w:left="6372" w:hanging="360"/>
      </w:pPr>
    </w:lvl>
    <w:lvl w:ilvl="8" w:tplc="0809001B" w:tentative="1">
      <w:start w:val="1"/>
      <w:numFmt w:val="lowerRoman"/>
      <w:lvlText w:val="%9."/>
      <w:lvlJc w:val="right"/>
      <w:pPr>
        <w:ind w:left="7092" w:hanging="180"/>
      </w:pPr>
    </w:lvl>
  </w:abstractNum>
  <w:abstractNum w:abstractNumId="18" w15:restartNumberingAfterBreak="0">
    <w:nsid w:val="18FC230D"/>
    <w:multiLevelType w:val="hybridMultilevel"/>
    <w:tmpl w:val="427271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A0D07E3"/>
    <w:multiLevelType w:val="hybridMultilevel"/>
    <w:tmpl w:val="53C4E4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C30120F"/>
    <w:multiLevelType w:val="hybridMultilevel"/>
    <w:tmpl w:val="A418B3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DB0165F"/>
    <w:multiLevelType w:val="hybridMultilevel"/>
    <w:tmpl w:val="DB8403AC"/>
    <w:lvl w:ilvl="0" w:tplc="94F2B4EE">
      <w:start w:val="1"/>
      <w:numFmt w:val="lowerRoman"/>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22" w15:restartNumberingAfterBreak="0">
    <w:nsid w:val="21DE0352"/>
    <w:multiLevelType w:val="hybridMultilevel"/>
    <w:tmpl w:val="F05EF5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2317B92"/>
    <w:multiLevelType w:val="hybridMultilevel"/>
    <w:tmpl w:val="D6E809F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5" w15:restartNumberingAfterBreak="0">
    <w:nsid w:val="24B26F46"/>
    <w:multiLevelType w:val="hybridMultilevel"/>
    <w:tmpl w:val="4F18B99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6BA6E5F"/>
    <w:multiLevelType w:val="hybridMultilevel"/>
    <w:tmpl w:val="47E0AE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8B96AC3"/>
    <w:multiLevelType w:val="hybridMultilevel"/>
    <w:tmpl w:val="C9CE77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C8D5AD3"/>
    <w:multiLevelType w:val="singleLevel"/>
    <w:tmpl w:val="82EE6B70"/>
    <w:lvl w:ilvl="0">
      <w:start w:val="1"/>
      <w:numFmt w:val="bullet"/>
      <w:pStyle w:val="Listapunktowana2"/>
      <w:lvlText w:val=""/>
      <w:lvlJc w:val="left"/>
      <w:pPr>
        <w:tabs>
          <w:tab w:val="num" w:pos="1360"/>
        </w:tabs>
        <w:ind w:left="1360" w:hanging="283"/>
      </w:pPr>
      <w:rPr>
        <w:rFonts w:ascii="Symbol" w:hAnsi="Symbol"/>
      </w:rPr>
    </w:lvl>
  </w:abstractNum>
  <w:abstractNum w:abstractNumId="29" w15:restartNumberingAfterBreak="0">
    <w:nsid w:val="2EC04A76"/>
    <w:multiLevelType w:val="hybridMultilevel"/>
    <w:tmpl w:val="118211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0C815FC"/>
    <w:multiLevelType w:val="hybridMultilevel"/>
    <w:tmpl w:val="E1B438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1A70C47"/>
    <w:multiLevelType w:val="hybridMultilevel"/>
    <w:tmpl w:val="CAEA2D04"/>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3200290"/>
    <w:multiLevelType w:val="hybridMultilevel"/>
    <w:tmpl w:val="E188A1D2"/>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7683DF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76A2315"/>
    <w:multiLevelType w:val="hybridMultilevel"/>
    <w:tmpl w:val="E996C3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36" w15:restartNumberingAfterBreak="0">
    <w:nsid w:val="3A8C5DB3"/>
    <w:multiLevelType w:val="hybridMultilevel"/>
    <w:tmpl w:val="F0404A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D1759D2"/>
    <w:multiLevelType w:val="hybridMultilevel"/>
    <w:tmpl w:val="E5EEA08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3D371558"/>
    <w:multiLevelType w:val="hybridMultilevel"/>
    <w:tmpl w:val="2E1A00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24E6701"/>
    <w:multiLevelType w:val="hybridMultilevel"/>
    <w:tmpl w:val="9BB2A074"/>
    <w:lvl w:ilvl="0" w:tplc="94F2B4EE">
      <w:start w:val="1"/>
      <w:numFmt w:val="lowerRoman"/>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0" w15:restartNumberingAfterBreak="0">
    <w:nsid w:val="428415E7"/>
    <w:multiLevelType w:val="multilevel"/>
    <w:tmpl w:val="92100ADA"/>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42917EAC"/>
    <w:multiLevelType w:val="hybridMultilevel"/>
    <w:tmpl w:val="63B6D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2A32608"/>
    <w:multiLevelType w:val="hybridMultilevel"/>
    <w:tmpl w:val="A4DAEE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2E22311"/>
    <w:multiLevelType w:val="hybridMultilevel"/>
    <w:tmpl w:val="3AFE71A8"/>
    <w:lvl w:ilvl="0" w:tplc="4A24D532">
      <w:start w:val="1"/>
      <w:numFmt w:val="lowerRoman"/>
      <w:lvlText w:val="(%1)"/>
      <w:lvlJc w:val="left"/>
      <w:pPr>
        <w:ind w:left="720" w:hanging="360"/>
      </w:pPr>
      <w:rPr>
        <w:rFonts w:hint="default"/>
      </w:rPr>
    </w:lvl>
    <w:lvl w:ilvl="1" w:tplc="08090017">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36D5F45"/>
    <w:multiLevelType w:val="hybridMultilevel"/>
    <w:tmpl w:val="80583FF8"/>
    <w:lvl w:ilvl="0" w:tplc="5D422416">
      <w:start w:val="1"/>
      <w:numFmt w:val="lowerRoman"/>
      <w:suff w:val="space"/>
      <w:lvlText w:val="(%1)"/>
      <w:lvlJc w:val="left"/>
      <w:pPr>
        <w:ind w:left="1287" w:hanging="360"/>
      </w:pPr>
      <w:rPr>
        <w:rFonts w:hint="default"/>
      </w:rPr>
    </w:lvl>
    <w:lvl w:ilvl="1" w:tplc="08090017">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5481EA4"/>
    <w:multiLevelType w:val="multilevel"/>
    <w:tmpl w:val="28525E6E"/>
    <w:lvl w:ilvl="0">
      <w:start w:val="1"/>
      <w:numFmt w:val="decimal"/>
      <w:pStyle w:val="Listanumerowana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45F218C7"/>
    <w:multiLevelType w:val="hybridMultilevel"/>
    <w:tmpl w:val="6650A53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46E21EF5"/>
    <w:multiLevelType w:val="hybridMultilevel"/>
    <w:tmpl w:val="1BF863FC"/>
    <w:lvl w:ilvl="0" w:tplc="08090017">
      <w:start w:val="1"/>
      <w:numFmt w:val="lowerLetter"/>
      <w:lvlText w:val="%1)"/>
      <w:lvlJc w:val="left"/>
      <w:pPr>
        <w:ind w:left="360" w:hanging="360"/>
      </w:pPr>
      <w:rPr>
        <w:rFonts w:hint="default"/>
        <w:i/>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9" w15:restartNumberingAfterBreak="0">
    <w:nsid w:val="47890D55"/>
    <w:multiLevelType w:val="hybridMultilevel"/>
    <w:tmpl w:val="1536FF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8547FC0"/>
    <w:multiLevelType w:val="hybridMultilevel"/>
    <w:tmpl w:val="6C02EEC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8733AE1"/>
    <w:multiLevelType w:val="hybridMultilevel"/>
    <w:tmpl w:val="74A2C6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8860AAB"/>
    <w:multiLevelType w:val="multilevel"/>
    <w:tmpl w:val="E8744BD2"/>
    <w:lvl w:ilvl="0">
      <w:start w:val="1"/>
      <w:numFmt w:val="decimal"/>
      <w:pStyle w:val="Listanumerowana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49226541"/>
    <w:multiLevelType w:val="multilevel"/>
    <w:tmpl w:val="722676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numFmt w:val="bullet"/>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49E055FC"/>
    <w:multiLevelType w:val="hybridMultilevel"/>
    <w:tmpl w:val="8FCAA538"/>
    <w:lvl w:ilvl="0" w:tplc="08090017">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5" w15:restartNumberingAfterBreak="0">
    <w:nsid w:val="4A061FC3"/>
    <w:multiLevelType w:val="hybridMultilevel"/>
    <w:tmpl w:val="14EAD0A2"/>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E8B71CF"/>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1B720EA"/>
    <w:multiLevelType w:val="hybridMultilevel"/>
    <w:tmpl w:val="E90E61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4BD0BEC"/>
    <w:multiLevelType w:val="singleLevel"/>
    <w:tmpl w:val="72D6F376"/>
    <w:lvl w:ilvl="0">
      <w:start w:val="1"/>
      <w:numFmt w:val="bullet"/>
      <w:pStyle w:val="Listapunktowana"/>
      <w:lvlText w:val=""/>
      <w:lvlJc w:val="left"/>
      <w:pPr>
        <w:tabs>
          <w:tab w:val="num" w:pos="283"/>
        </w:tabs>
        <w:ind w:left="283" w:hanging="283"/>
      </w:pPr>
      <w:rPr>
        <w:rFonts w:ascii="Symbol" w:hAnsi="Symbol"/>
      </w:rPr>
    </w:lvl>
  </w:abstractNum>
  <w:abstractNum w:abstractNumId="59" w15:restartNumberingAfterBreak="0">
    <w:nsid w:val="567E5DAD"/>
    <w:multiLevelType w:val="hybridMultilevel"/>
    <w:tmpl w:val="9FACF8F6"/>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6F654A0"/>
    <w:multiLevelType w:val="hybridMultilevel"/>
    <w:tmpl w:val="BDA299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57232DDB"/>
    <w:multiLevelType w:val="hybridMultilevel"/>
    <w:tmpl w:val="FA8EC5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7CF6BE9"/>
    <w:multiLevelType w:val="hybridMultilevel"/>
    <w:tmpl w:val="A2D8E5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8730AA8"/>
    <w:multiLevelType w:val="hybridMultilevel"/>
    <w:tmpl w:val="4F7812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ABB7CB2"/>
    <w:multiLevelType w:val="hybridMultilevel"/>
    <w:tmpl w:val="0B96E3E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E662AA4"/>
    <w:multiLevelType w:val="hybridMultilevel"/>
    <w:tmpl w:val="6D26ABA8"/>
    <w:lvl w:ilvl="0" w:tplc="94F2B4EE">
      <w:start w:val="1"/>
      <w:numFmt w:val="lowerRoman"/>
      <w:lvlText w:val="(%1)"/>
      <w:lvlJc w:val="left"/>
      <w:pPr>
        <w:tabs>
          <w:tab w:val="num" w:pos="1531"/>
        </w:tabs>
        <w:ind w:left="1531"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F01659F"/>
    <w:multiLevelType w:val="hybridMultilevel"/>
    <w:tmpl w:val="1C426E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5FD366C9"/>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62B6278B"/>
    <w:multiLevelType w:val="hybridMultilevel"/>
    <w:tmpl w:val="8E246D84"/>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33A6F21"/>
    <w:multiLevelType w:val="hybridMultilevel"/>
    <w:tmpl w:val="1A7EB9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63FF738F"/>
    <w:multiLevelType w:val="hybridMultilevel"/>
    <w:tmpl w:val="EF9E2B5A"/>
    <w:lvl w:ilvl="0" w:tplc="70529520">
      <w:start w:val="1"/>
      <w:numFmt w:val="bullet"/>
      <w:lvlText w:val=""/>
      <w:lvlJc w:val="left"/>
      <w:pPr>
        <w:ind w:left="2421" w:hanging="360"/>
      </w:pPr>
      <w:rPr>
        <w:rFonts w:ascii="Symbol" w:hAnsi="Symbol" w:hint="default"/>
      </w:rPr>
    </w:lvl>
    <w:lvl w:ilvl="1" w:tplc="08090003">
      <w:start w:val="1"/>
      <w:numFmt w:val="bullet"/>
      <w:lvlText w:val="o"/>
      <w:lvlJc w:val="left"/>
      <w:pPr>
        <w:ind w:left="3141" w:hanging="360"/>
      </w:pPr>
      <w:rPr>
        <w:rFonts w:ascii="Courier New" w:hAnsi="Courier New" w:cs="Courier New" w:hint="default"/>
      </w:rPr>
    </w:lvl>
    <w:lvl w:ilvl="2" w:tplc="08090005">
      <w:start w:val="1"/>
      <w:numFmt w:val="bullet"/>
      <w:lvlText w:val=""/>
      <w:lvlJc w:val="left"/>
      <w:pPr>
        <w:ind w:left="3861" w:hanging="360"/>
      </w:pPr>
      <w:rPr>
        <w:rFonts w:ascii="Wingdings" w:hAnsi="Wingdings" w:hint="default"/>
      </w:rPr>
    </w:lvl>
    <w:lvl w:ilvl="3" w:tplc="08090001">
      <w:start w:val="1"/>
      <w:numFmt w:val="bullet"/>
      <w:lvlText w:val=""/>
      <w:lvlJc w:val="left"/>
      <w:pPr>
        <w:ind w:left="4581" w:hanging="360"/>
      </w:pPr>
      <w:rPr>
        <w:rFonts w:ascii="Symbol" w:hAnsi="Symbol" w:hint="default"/>
      </w:rPr>
    </w:lvl>
    <w:lvl w:ilvl="4" w:tplc="08090003">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71" w15:restartNumberingAfterBreak="0">
    <w:nsid w:val="64B668D4"/>
    <w:multiLevelType w:val="hybridMultilevel"/>
    <w:tmpl w:val="620035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654A1CAC"/>
    <w:multiLevelType w:val="hybridMultilevel"/>
    <w:tmpl w:val="395837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65C20F49"/>
    <w:multiLevelType w:val="hybridMultilevel"/>
    <w:tmpl w:val="22F091F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65E84609"/>
    <w:multiLevelType w:val="hybridMultilevel"/>
    <w:tmpl w:val="B92A3A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76"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77"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78" w15:restartNumberingAfterBreak="0">
    <w:nsid w:val="680D79B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69D97F07"/>
    <w:multiLevelType w:val="hybridMultilevel"/>
    <w:tmpl w:val="4BC4F1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6A32567A"/>
    <w:multiLevelType w:val="hybridMultilevel"/>
    <w:tmpl w:val="D7B4CE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6C6529B2"/>
    <w:multiLevelType w:val="hybridMultilevel"/>
    <w:tmpl w:val="CD0CEC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6D522CB8"/>
    <w:multiLevelType w:val="hybridMultilevel"/>
    <w:tmpl w:val="761EFEC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6DF51693"/>
    <w:multiLevelType w:val="hybridMultilevel"/>
    <w:tmpl w:val="855CB0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85" w15:restartNumberingAfterBreak="0">
    <w:nsid w:val="702D4D09"/>
    <w:multiLevelType w:val="hybridMultilevel"/>
    <w:tmpl w:val="4406F7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702F7E66"/>
    <w:multiLevelType w:val="hybridMultilevel"/>
    <w:tmpl w:val="55C4D96C"/>
    <w:lvl w:ilvl="0" w:tplc="4A24D53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71325247"/>
    <w:multiLevelType w:val="hybridMultilevel"/>
    <w:tmpl w:val="55BC75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71D72855"/>
    <w:multiLevelType w:val="hybridMultilevel"/>
    <w:tmpl w:val="595483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72DF387F"/>
    <w:multiLevelType w:val="hybridMultilevel"/>
    <w:tmpl w:val="15CC72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75146312"/>
    <w:multiLevelType w:val="hybridMultilevel"/>
    <w:tmpl w:val="8BACC7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76834DDF"/>
    <w:multiLevelType w:val="hybridMultilevel"/>
    <w:tmpl w:val="49CEB54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77F668AB"/>
    <w:multiLevelType w:val="hybridMultilevel"/>
    <w:tmpl w:val="9252EC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7A23593A"/>
    <w:multiLevelType w:val="hybridMultilevel"/>
    <w:tmpl w:val="A704D7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F99776F"/>
    <w:multiLevelType w:val="hybridMultilevel"/>
    <w:tmpl w:val="5DCAABBA"/>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7FB0689A"/>
    <w:multiLevelType w:val="hybridMultilevel"/>
    <w:tmpl w:val="EFA673EC"/>
    <w:lvl w:ilvl="0" w:tplc="4A24D532">
      <w:start w:val="1"/>
      <w:numFmt w:val="lowerRoman"/>
      <w:lvlText w:val="(%1)"/>
      <w:lvlJc w:val="left"/>
      <w:pPr>
        <w:ind w:left="720" w:hanging="360"/>
      </w:pPr>
      <w:rPr>
        <w:rFonts w:hint="default"/>
      </w:rPr>
    </w:lvl>
    <w:lvl w:ilvl="1" w:tplc="B4A4A62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88117250">
    <w:abstractNumId w:val="48"/>
  </w:num>
  <w:num w:numId="2" w16cid:durableId="1543058337">
    <w:abstractNumId w:val="16"/>
  </w:num>
  <w:num w:numId="3" w16cid:durableId="1209488050">
    <w:abstractNumId w:val="53"/>
  </w:num>
  <w:num w:numId="4" w16cid:durableId="1460801512">
    <w:abstractNumId w:val="93"/>
  </w:num>
  <w:num w:numId="5" w16cid:durableId="275067142">
    <w:abstractNumId w:val="20"/>
  </w:num>
  <w:num w:numId="6" w16cid:durableId="588002968">
    <w:abstractNumId w:val="65"/>
  </w:num>
  <w:num w:numId="7" w16cid:durableId="2145387846">
    <w:abstractNumId w:val="44"/>
  </w:num>
  <w:num w:numId="8" w16cid:durableId="1361392916">
    <w:abstractNumId w:val="17"/>
  </w:num>
  <w:num w:numId="9" w16cid:durableId="2013678196">
    <w:abstractNumId w:val="10"/>
  </w:num>
  <w:num w:numId="10" w16cid:durableId="1290433005">
    <w:abstractNumId w:val="4"/>
  </w:num>
  <w:num w:numId="11" w16cid:durableId="2023774216">
    <w:abstractNumId w:val="34"/>
  </w:num>
  <w:num w:numId="12" w16cid:durableId="822359017">
    <w:abstractNumId w:val="89"/>
  </w:num>
  <w:num w:numId="13" w16cid:durableId="2016882555">
    <w:abstractNumId w:val="49"/>
  </w:num>
  <w:num w:numId="14" w16cid:durableId="1208763136">
    <w:abstractNumId w:val="30"/>
  </w:num>
  <w:num w:numId="15" w16cid:durableId="549339103">
    <w:abstractNumId w:val="63"/>
  </w:num>
  <w:num w:numId="16" w16cid:durableId="217980037">
    <w:abstractNumId w:val="81"/>
  </w:num>
  <w:num w:numId="17" w16cid:durableId="1134449907">
    <w:abstractNumId w:val="7"/>
  </w:num>
  <w:num w:numId="18" w16cid:durableId="221332174">
    <w:abstractNumId w:val="57"/>
  </w:num>
  <w:num w:numId="19" w16cid:durableId="774909157">
    <w:abstractNumId w:val="90"/>
  </w:num>
  <w:num w:numId="20" w16cid:durableId="1101142296">
    <w:abstractNumId w:val="83"/>
  </w:num>
  <w:num w:numId="21" w16cid:durableId="1412459842">
    <w:abstractNumId w:val="37"/>
  </w:num>
  <w:num w:numId="22" w16cid:durableId="202442999">
    <w:abstractNumId w:val="54"/>
  </w:num>
  <w:num w:numId="23" w16cid:durableId="109932305">
    <w:abstractNumId w:val="92"/>
  </w:num>
  <w:num w:numId="24" w16cid:durableId="72747949">
    <w:abstractNumId w:val="60"/>
  </w:num>
  <w:num w:numId="25" w16cid:durableId="1395620708">
    <w:abstractNumId w:val="61"/>
  </w:num>
  <w:num w:numId="26" w16cid:durableId="1026254977">
    <w:abstractNumId w:val="38"/>
  </w:num>
  <w:num w:numId="27" w16cid:durableId="1364090393">
    <w:abstractNumId w:val="18"/>
  </w:num>
  <w:num w:numId="28" w16cid:durableId="1476726228">
    <w:abstractNumId w:val="14"/>
  </w:num>
  <w:num w:numId="29" w16cid:durableId="767703382">
    <w:abstractNumId w:val="74"/>
  </w:num>
  <w:num w:numId="30" w16cid:durableId="55398394">
    <w:abstractNumId w:val="88"/>
  </w:num>
  <w:num w:numId="31" w16cid:durableId="331104220">
    <w:abstractNumId w:val="22"/>
  </w:num>
  <w:num w:numId="32" w16cid:durableId="1476876443">
    <w:abstractNumId w:val="66"/>
  </w:num>
  <w:num w:numId="33" w16cid:durableId="879437632">
    <w:abstractNumId w:val="67"/>
  </w:num>
  <w:num w:numId="34" w16cid:durableId="1473064069">
    <w:abstractNumId w:val="95"/>
  </w:num>
  <w:num w:numId="35" w16cid:durableId="2028291162">
    <w:abstractNumId w:val="86"/>
  </w:num>
  <w:num w:numId="36" w16cid:durableId="1783643591">
    <w:abstractNumId w:val="42"/>
  </w:num>
  <w:num w:numId="37" w16cid:durableId="328290520">
    <w:abstractNumId w:val="1"/>
  </w:num>
  <w:num w:numId="38" w16cid:durableId="407503100">
    <w:abstractNumId w:val="33"/>
  </w:num>
  <w:num w:numId="39" w16cid:durableId="1265456483">
    <w:abstractNumId w:val="78"/>
  </w:num>
  <w:num w:numId="40" w16cid:durableId="1656032872">
    <w:abstractNumId w:val="69"/>
  </w:num>
  <w:num w:numId="41" w16cid:durableId="1034771949">
    <w:abstractNumId w:val="29"/>
  </w:num>
  <w:num w:numId="42" w16cid:durableId="894197704">
    <w:abstractNumId w:val="51"/>
  </w:num>
  <w:num w:numId="43" w16cid:durableId="1641422880">
    <w:abstractNumId w:val="72"/>
  </w:num>
  <w:num w:numId="44" w16cid:durableId="1261333870">
    <w:abstractNumId w:val="55"/>
  </w:num>
  <w:num w:numId="45" w16cid:durableId="267082056">
    <w:abstractNumId w:val="82"/>
  </w:num>
  <w:num w:numId="46" w16cid:durableId="1225795050">
    <w:abstractNumId w:val="12"/>
  </w:num>
  <w:num w:numId="47" w16cid:durableId="1331835229">
    <w:abstractNumId w:val="11"/>
  </w:num>
  <w:num w:numId="48" w16cid:durableId="178128469">
    <w:abstractNumId w:val="41"/>
  </w:num>
  <w:num w:numId="49" w16cid:durableId="65615292">
    <w:abstractNumId w:val="0"/>
  </w:num>
  <w:num w:numId="50" w16cid:durableId="301080472">
    <w:abstractNumId w:val="68"/>
  </w:num>
  <w:num w:numId="51" w16cid:durableId="877279910">
    <w:abstractNumId w:val="31"/>
  </w:num>
  <w:num w:numId="52" w16cid:durableId="1684473968">
    <w:abstractNumId w:val="59"/>
  </w:num>
  <w:num w:numId="53" w16cid:durableId="1710563767">
    <w:abstractNumId w:val="64"/>
  </w:num>
  <w:num w:numId="54" w16cid:durableId="551190487">
    <w:abstractNumId w:val="62"/>
  </w:num>
  <w:num w:numId="55" w16cid:durableId="1959605281">
    <w:abstractNumId w:val="79"/>
  </w:num>
  <w:num w:numId="56" w16cid:durableId="978001090">
    <w:abstractNumId w:val="3"/>
  </w:num>
  <w:num w:numId="57" w16cid:durableId="2020811571">
    <w:abstractNumId w:val="71"/>
  </w:num>
  <w:num w:numId="58" w16cid:durableId="1185246105">
    <w:abstractNumId w:val="80"/>
  </w:num>
  <w:num w:numId="59" w16cid:durableId="1715152763">
    <w:abstractNumId w:val="8"/>
  </w:num>
  <w:num w:numId="60" w16cid:durableId="38752960">
    <w:abstractNumId w:val="50"/>
  </w:num>
  <w:num w:numId="61" w16cid:durableId="1987196954">
    <w:abstractNumId w:val="36"/>
  </w:num>
  <w:num w:numId="62" w16cid:durableId="1504054833">
    <w:abstractNumId w:val="26"/>
  </w:num>
  <w:num w:numId="63" w16cid:durableId="1990278638">
    <w:abstractNumId w:val="87"/>
  </w:num>
  <w:num w:numId="64" w16cid:durableId="1521580577">
    <w:abstractNumId w:val="27"/>
  </w:num>
  <w:num w:numId="65" w16cid:durableId="240255202">
    <w:abstractNumId w:val="85"/>
  </w:num>
  <w:num w:numId="66" w16cid:durableId="740951771">
    <w:abstractNumId w:val="19"/>
  </w:num>
  <w:num w:numId="67" w16cid:durableId="1646818015">
    <w:abstractNumId w:val="94"/>
  </w:num>
  <w:num w:numId="68" w16cid:durableId="744109869">
    <w:abstractNumId w:val="91"/>
  </w:num>
  <w:num w:numId="69" w16cid:durableId="373120935">
    <w:abstractNumId w:val="73"/>
  </w:num>
  <w:num w:numId="70" w16cid:durableId="1039670105">
    <w:abstractNumId w:val="9"/>
  </w:num>
  <w:num w:numId="71" w16cid:durableId="284047600">
    <w:abstractNumId w:val="23"/>
  </w:num>
  <w:num w:numId="72" w16cid:durableId="1982692355">
    <w:abstractNumId w:val="5"/>
  </w:num>
  <w:num w:numId="73" w16cid:durableId="147986294">
    <w:abstractNumId w:val="25"/>
  </w:num>
  <w:num w:numId="74" w16cid:durableId="1130324816">
    <w:abstractNumId w:val="32"/>
  </w:num>
  <w:num w:numId="75" w16cid:durableId="788818613">
    <w:abstractNumId w:val="39"/>
  </w:num>
  <w:num w:numId="76" w16cid:durableId="1833058608">
    <w:abstractNumId w:val="6"/>
  </w:num>
  <w:num w:numId="77" w16cid:durableId="1955794309">
    <w:abstractNumId w:val="21"/>
  </w:num>
  <w:num w:numId="78" w16cid:durableId="1625191394">
    <w:abstractNumId w:val="70"/>
  </w:num>
  <w:num w:numId="79" w16cid:durableId="129177442">
    <w:abstractNumId w:val="56"/>
  </w:num>
  <w:num w:numId="80" w16cid:durableId="779031723">
    <w:abstractNumId w:val="43"/>
  </w:num>
  <w:num w:numId="81" w16cid:durableId="1422600673">
    <w:abstractNumId w:val="46"/>
  </w:num>
  <w:num w:numId="82" w16cid:durableId="1278291556">
    <w:abstractNumId w:val="58"/>
  </w:num>
  <w:num w:numId="83" w16cid:durableId="251397876">
    <w:abstractNumId w:val="35"/>
  </w:num>
  <w:num w:numId="84" w16cid:durableId="563493763">
    <w:abstractNumId w:val="28"/>
  </w:num>
  <w:num w:numId="85" w16cid:durableId="606893235">
    <w:abstractNumId w:val="15"/>
  </w:num>
  <w:num w:numId="86" w16cid:durableId="16782142">
    <w:abstractNumId w:val="13"/>
  </w:num>
  <w:num w:numId="87" w16cid:durableId="2029601477">
    <w:abstractNumId w:val="75"/>
  </w:num>
  <w:num w:numId="88" w16cid:durableId="918249697">
    <w:abstractNumId w:val="77"/>
  </w:num>
  <w:num w:numId="89" w16cid:durableId="446241824">
    <w:abstractNumId w:val="76"/>
  </w:num>
  <w:num w:numId="90" w16cid:durableId="1450513470">
    <w:abstractNumId w:val="84"/>
  </w:num>
  <w:num w:numId="91" w16cid:durableId="1378043940">
    <w:abstractNumId w:val="24"/>
  </w:num>
  <w:num w:numId="92" w16cid:durableId="2139566332">
    <w:abstractNumId w:val="40"/>
  </w:num>
  <w:num w:numId="93" w16cid:durableId="1070924039">
    <w:abstractNumId w:val="47"/>
  </w:num>
  <w:num w:numId="94" w16cid:durableId="439107506">
    <w:abstractNumId w:val="45"/>
  </w:num>
  <w:num w:numId="95" w16cid:durableId="1838492049">
    <w:abstractNumId w:val="2"/>
  </w:num>
  <w:num w:numId="96" w16cid:durableId="1679622395">
    <w:abstractNumId w:val="52"/>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 w:name="Stamp" w:val="\\dossiers.dgt.cec.eu.int\dossiers\BUDG\BUDG-2015-00954\BUDG-2015-00954-00-01-EN-REV-00.DOC"/>
  </w:docVars>
  <w:rsids>
    <w:rsidRoot w:val="009533DC"/>
    <w:rsid w:val="0000024E"/>
    <w:rsid w:val="00000354"/>
    <w:rsid w:val="00001754"/>
    <w:rsid w:val="00001A66"/>
    <w:rsid w:val="00001C72"/>
    <w:rsid w:val="00001CBF"/>
    <w:rsid w:val="00001EBB"/>
    <w:rsid w:val="00001F51"/>
    <w:rsid w:val="000022D4"/>
    <w:rsid w:val="0000249A"/>
    <w:rsid w:val="00002612"/>
    <w:rsid w:val="00002A50"/>
    <w:rsid w:val="00003290"/>
    <w:rsid w:val="000039DF"/>
    <w:rsid w:val="00003C3A"/>
    <w:rsid w:val="00004355"/>
    <w:rsid w:val="0000482C"/>
    <w:rsid w:val="00004E9A"/>
    <w:rsid w:val="0000589A"/>
    <w:rsid w:val="00005A41"/>
    <w:rsid w:val="00005C8D"/>
    <w:rsid w:val="00005E15"/>
    <w:rsid w:val="00006327"/>
    <w:rsid w:val="000075EA"/>
    <w:rsid w:val="00007B48"/>
    <w:rsid w:val="00010370"/>
    <w:rsid w:val="000117D2"/>
    <w:rsid w:val="0001197C"/>
    <w:rsid w:val="00012022"/>
    <w:rsid w:val="0001231E"/>
    <w:rsid w:val="0001277B"/>
    <w:rsid w:val="000137AA"/>
    <w:rsid w:val="00013EEC"/>
    <w:rsid w:val="00015202"/>
    <w:rsid w:val="000155C1"/>
    <w:rsid w:val="0001569A"/>
    <w:rsid w:val="00015D64"/>
    <w:rsid w:val="000174EE"/>
    <w:rsid w:val="00021446"/>
    <w:rsid w:val="00021F41"/>
    <w:rsid w:val="00022560"/>
    <w:rsid w:val="0002291B"/>
    <w:rsid w:val="0002325E"/>
    <w:rsid w:val="000243AE"/>
    <w:rsid w:val="00024BF1"/>
    <w:rsid w:val="00024D84"/>
    <w:rsid w:val="00024E2F"/>
    <w:rsid w:val="000251C9"/>
    <w:rsid w:val="00025393"/>
    <w:rsid w:val="000261C5"/>
    <w:rsid w:val="000265E9"/>
    <w:rsid w:val="00026A12"/>
    <w:rsid w:val="0002763E"/>
    <w:rsid w:val="000279F5"/>
    <w:rsid w:val="00027DF6"/>
    <w:rsid w:val="000310B7"/>
    <w:rsid w:val="0003149B"/>
    <w:rsid w:val="0003191D"/>
    <w:rsid w:val="00031DEB"/>
    <w:rsid w:val="000334E9"/>
    <w:rsid w:val="0003387A"/>
    <w:rsid w:val="00034058"/>
    <w:rsid w:val="000340BC"/>
    <w:rsid w:val="00034942"/>
    <w:rsid w:val="00034EE1"/>
    <w:rsid w:val="000351DE"/>
    <w:rsid w:val="00035729"/>
    <w:rsid w:val="00036432"/>
    <w:rsid w:val="00036BBF"/>
    <w:rsid w:val="00036CDB"/>
    <w:rsid w:val="000379B4"/>
    <w:rsid w:val="0004000F"/>
    <w:rsid w:val="0004044C"/>
    <w:rsid w:val="000406AD"/>
    <w:rsid w:val="00040FCE"/>
    <w:rsid w:val="00042C8B"/>
    <w:rsid w:val="00042E7D"/>
    <w:rsid w:val="00042F22"/>
    <w:rsid w:val="0004325C"/>
    <w:rsid w:val="00043940"/>
    <w:rsid w:val="00043B7D"/>
    <w:rsid w:val="00044431"/>
    <w:rsid w:val="000450C8"/>
    <w:rsid w:val="00045410"/>
    <w:rsid w:val="00045A06"/>
    <w:rsid w:val="00045EA1"/>
    <w:rsid w:val="000461FE"/>
    <w:rsid w:val="000465B2"/>
    <w:rsid w:val="00046F35"/>
    <w:rsid w:val="000476F2"/>
    <w:rsid w:val="00047B38"/>
    <w:rsid w:val="00050051"/>
    <w:rsid w:val="000500BF"/>
    <w:rsid w:val="00050C07"/>
    <w:rsid w:val="00050E8C"/>
    <w:rsid w:val="00051CFC"/>
    <w:rsid w:val="000526D2"/>
    <w:rsid w:val="00052BDA"/>
    <w:rsid w:val="00053163"/>
    <w:rsid w:val="0005356E"/>
    <w:rsid w:val="0005386D"/>
    <w:rsid w:val="00053929"/>
    <w:rsid w:val="00054264"/>
    <w:rsid w:val="000554AA"/>
    <w:rsid w:val="00056698"/>
    <w:rsid w:val="0005682C"/>
    <w:rsid w:val="00056C97"/>
    <w:rsid w:val="00056D1E"/>
    <w:rsid w:val="0005750B"/>
    <w:rsid w:val="0005787B"/>
    <w:rsid w:val="00057F59"/>
    <w:rsid w:val="000601C1"/>
    <w:rsid w:val="000612E1"/>
    <w:rsid w:val="00061706"/>
    <w:rsid w:val="0006263E"/>
    <w:rsid w:val="00062692"/>
    <w:rsid w:val="00062B8C"/>
    <w:rsid w:val="00062DD8"/>
    <w:rsid w:val="00062DE1"/>
    <w:rsid w:val="00062FFC"/>
    <w:rsid w:val="00063020"/>
    <w:rsid w:val="00063585"/>
    <w:rsid w:val="000637B3"/>
    <w:rsid w:val="00063AF3"/>
    <w:rsid w:val="00063DF8"/>
    <w:rsid w:val="000641BC"/>
    <w:rsid w:val="000654D2"/>
    <w:rsid w:val="000659F7"/>
    <w:rsid w:val="00065B43"/>
    <w:rsid w:val="00065C67"/>
    <w:rsid w:val="00065E8B"/>
    <w:rsid w:val="000669D7"/>
    <w:rsid w:val="00066F9D"/>
    <w:rsid w:val="000673D5"/>
    <w:rsid w:val="00067CA5"/>
    <w:rsid w:val="00070321"/>
    <w:rsid w:val="00070876"/>
    <w:rsid w:val="00071933"/>
    <w:rsid w:val="00072E16"/>
    <w:rsid w:val="00074397"/>
    <w:rsid w:val="00074604"/>
    <w:rsid w:val="00075091"/>
    <w:rsid w:val="00075689"/>
    <w:rsid w:val="00075CF5"/>
    <w:rsid w:val="00075FAE"/>
    <w:rsid w:val="000761D0"/>
    <w:rsid w:val="00076B96"/>
    <w:rsid w:val="00077630"/>
    <w:rsid w:val="00077CA6"/>
    <w:rsid w:val="00080564"/>
    <w:rsid w:val="00081255"/>
    <w:rsid w:val="0008168F"/>
    <w:rsid w:val="000829A1"/>
    <w:rsid w:val="00083011"/>
    <w:rsid w:val="000836E8"/>
    <w:rsid w:val="00084813"/>
    <w:rsid w:val="00084A90"/>
    <w:rsid w:val="00084AD5"/>
    <w:rsid w:val="000858CF"/>
    <w:rsid w:val="00085B96"/>
    <w:rsid w:val="00086B2C"/>
    <w:rsid w:val="00086B56"/>
    <w:rsid w:val="00087903"/>
    <w:rsid w:val="00087AAD"/>
    <w:rsid w:val="00087CD8"/>
    <w:rsid w:val="00090B2F"/>
    <w:rsid w:val="00090C9A"/>
    <w:rsid w:val="00090CA0"/>
    <w:rsid w:val="0009101D"/>
    <w:rsid w:val="00091568"/>
    <w:rsid w:val="0009185A"/>
    <w:rsid w:val="000924CA"/>
    <w:rsid w:val="000927C0"/>
    <w:rsid w:val="00092A99"/>
    <w:rsid w:val="00092BDB"/>
    <w:rsid w:val="0009398C"/>
    <w:rsid w:val="00094D7F"/>
    <w:rsid w:val="00095423"/>
    <w:rsid w:val="00095594"/>
    <w:rsid w:val="0009619D"/>
    <w:rsid w:val="000970DD"/>
    <w:rsid w:val="00097272"/>
    <w:rsid w:val="00097355"/>
    <w:rsid w:val="000975F9"/>
    <w:rsid w:val="00097866"/>
    <w:rsid w:val="00097B3E"/>
    <w:rsid w:val="00097EA8"/>
    <w:rsid w:val="000A035C"/>
    <w:rsid w:val="000A0867"/>
    <w:rsid w:val="000A0C33"/>
    <w:rsid w:val="000A0FE4"/>
    <w:rsid w:val="000A100A"/>
    <w:rsid w:val="000A14AB"/>
    <w:rsid w:val="000A1860"/>
    <w:rsid w:val="000A195F"/>
    <w:rsid w:val="000A1EA8"/>
    <w:rsid w:val="000A22EB"/>
    <w:rsid w:val="000A33E1"/>
    <w:rsid w:val="000A35E9"/>
    <w:rsid w:val="000A4F91"/>
    <w:rsid w:val="000A5F13"/>
    <w:rsid w:val="000A6CE3"/>
    <w:rsid w:val="000A774B"/>
    <w:rsid w:val="000A7858"/>
    <w:rsid w:val="000B0D79"/>
    <w:rsid w:val="000B11BC"/>
    <w:rsid w:val="000B1DD4"/>
    <w:rsid w:val="000B1FE3"/>
    <w:rsid w:val="000B301C"/>
    <w:rsid w:val="000B4142"/>
    <w:rsid w:val="000B41C4"/>
    <w:rsid w:val="000B4D0E"/>
    <w:rsid w:val="000B4ECE"/>
    <w:rsid w:val="000B5630"/>
    <w:rsid w:val="000B5873"/>
    <w:rsid w:val="000B6180"/>
    <w:rsid w:val="000B6829"/>
    <w:rsid w:val="000B707C"/>
    <w:rsid w:val="000B7A17"/>
    <w:rsid w:val="000B7AA6"/>
    <w:rsid w:val="000C0E3B"/>
    <w:rsid w:val="000C1601"/>
    <w:rsid w:val="000C1745"/>
    <w:rsid w:val="000C1821"/>
    <w:rsid w:val="000C1829"/>
    <w:rsid w:val="000C1AA0"/>
    <w:rsid w:val="000C1D08"/>
    <w:rsid w:val="000C1F6E"/>
    <w:rsid w:val="000C239A"/>
    <w:rsid w:val="000C2837"/>
    <w:rsid w:val="000C2D07"/>
    <w:rsid w:val="000C327B"/>
    <w:rsid w:val="000C3D0A"/>
    <w:rsid w:val="000C409B"/>
    <w:rsid w:val="000C44E8"/>
    <w:rsid w:val="000C4D23"/>
    <w:rsid w:val="000C509D"/>
    <w:rsid w:val="000C547D"/>
    <w:rsid w:val="000C5C1F"/>
    <w:rsid w:val="000C5CE7"/>
    <w:rsid w:val="000C5F55"/>
    <w:rsid w:val="000C62FA"/>
    <w:rsid w:val="000C639D"/>
    <w:rsid w:val="000D08F0"/>
    <w:rsid w:val="000D1093"/>
    <w:rsid w:val="000D2296"/>
    <w:rsid w:val="000D2417"/>
    <w:rsid w:val="000D3611"/>
    <w:rsid w:val="000D3619"/>
    <w:rsid w:val="000D3F9E"/>
    <w:rsid w:val="000D44D4"/>
    <w:rsid w:val="000D4944"/>
    <w:rsid w:val="000D49BB"/>
    <w:rsid w:val="000D504C"/>
    <w:rsid w:val="000D51AC"/>
    <w:rsid w:val="000D585A"/>
    <w:rsid w:val="000D5AAD"/>
    <w:rsid w:val="000D5ADB"/>
    <w:rsid w:val="000D5D74"/>
    <w:rsid w:val="000D5DA0"/>
    <w:rsid w:val="000D5FDF"/>
    <w:rsid w:val="000D683B"/>
    <w:rsid w:val="000D73CE"/>
    <w:rsid w:val="000D7CD1"/>
    <w:rsid w:val="000E0ACE"/>
    <w:rsid w:val="000E0CAB"/>
    <w:rsid w:val="000E0DED"/>
    <w:rsid w:val="000E0EB8"/>
    <w:rsid w:val="000E0F36"/>
    <w:rsid w:val="000E133A"/>
    <w:rsid w:val="000E1A72"/>
    <w:rsid w:val="000E1BF5"/>
    <w:rsid w:val="000E261B"/>
    <w:rsid w:val="000E2CDC"/>
    <w:rsid w:val="000E32F0"/>
    <w:rsid w:val="000E34C3"/>
    <w:rsid w:val="000E39BE"/>
    <w:rsid w:val="000E3B0C"/>
    <w:rsid w:val="000E4F28"/>
    <w:rsid w:val="000E5697"/>
    <w:rsid w:val="000E6094"/>
    <w:rsid w:val="000E63C4"/>
    <w:rsid w:val="000E6B58"/>
    <w:rsid w:val="000E7306"/>
    <w:rsid w:val="000E750E"/>
    <w:rsid w:val="000E7794"/>
    <w:rsid w:val="000E7C61"/>
    <w:rsid w:val="000F05A1"/>
    <w:rsid w:val="000F184D"/>
    <w:rsid w:val="000F2766"/>
    <w:rsid w:val="000F2BC1"/>
    <w:rsid w:val="000F34F3"/>
    <w:rsid w:val="000F3D34"/>
    <w:rsid w:val="000F41B3"/>
    <w:rsid w:val="000F4F04"/>
    <w:rsid w:val="000F543B"/>
    <w:rsid w:val="000F5780"/>
    <w:rsid w:val="000F57EC"/>
    <w:rsid w:val="000F591C"/>
    <w:rsid w:val="000F5FDC"/>
    <w:rsid w:val="000F62B5"/>
    <w:rsid w:val="000F63F5"/>
    <w:rsid w:val="000F64DB"/>
    <w:rsid w:val="000F6B3A"/>
    <w:rsid w:val="000F6F09"/>
    <w:rsid w:val="000F7818"/>
    <w:rsid w:val="000F78CF"/>
    <w:rsid w:val="000F7CB1"/>
    <w:rsid w:val="000F7E37"/>
    <w:rsid w:val="000F7FBA"/>
    <w:rsid w:val="00100CD5"/>
    <w:rsid w:val="0010126E"/>
    <w:rsid w:val="001017A8"/>
    <w:rsid w:val="0010237A"/>
    <w:rsid w:val="00102A6C"/>
    <w:rsid w:val="00102EE4"/>
    <w:rsid w:val="001034F6"/>
    <w:rsid w:val="00103C71"/>
    <w:rsid w:val="001044F4"/>
    <w:rsid w:val="00104DE0"/>
    <w:rsid w:val="00105151"/>
    <w:rsid w:val="00106041"/>
    <w:rsid w:val="0010636F"/>
    <w:rsid w:val="00106EE8"/>
    <w:rsid w:val="00107476"/>
    <w:rsid w:val="001106BA"/>
    <w:rsid w:val="00111A76"/>
    <w:rsid w:val="00111FBB"/>
    <w:rsid w:val="001121CF"/>
    <w:rsid w:val="001122D4"/>
    <w:rsid w:val="0011307E"/>
    <w:rsid w:val="0011314B"/>
    <w:rsid w:val="00113208"/>
    <w:rsid w:val="001134CC"/>
    <w:rsid w:val="0011375B"/>
    <w:rsid w:val="0011535C"/>
    <w:rsid w:val="00115461"/>
    <w:rsid w:val="00116A49"/>
    <w:rsid w:val="00120262"/>
    <w:rsid w:val="00120C3D"/>
    <w:rsid w:val="00120E5D"/>
    <w:rsid w:val="00121544"/>
    <w:rsid w:val="001216FA"/>
    <w:rsid w:val="00121DF0"/>
    <w:rsid w:val="00122727"/>
    <w:rsid w:val="0012285F"/>
    <w:rsid w:val="00122FB8"/>
    <w:rsid w:val="00123684"/>
    <w:rsid w:val="0012373C"/>
    <w:rsid w:val="00123B39"/>
    <w:rsid w:val="00123C16"/>
    <w:rsid w:val="00123F39"/>
    <w:rsid w:val="00124761"/>
    <w:rsid w:val="00124867"/>
    <w:rsid w:val="00126353"/>
    <w:rsid w:val="0012731E"/>
    <w:rsid w:val="001273EB"/>
    <w:rsid w:val="00127521"/>
    <w:rsid w:val="00127AC3"/>
    <w:rsid w:val="00130531"/>
    <w:rsid w:val="00130963"/>
    <w:rsid w:val="00130EBB"/>
    <w:rsid w:val="00131015"/>
    <w:rsid w:val="00131BBD"/>
    <w:rsid w:val="00132108"/>
    <w:rsid w:val="001321E3"/>
    <w:rsid w:val="001329B1"/>
    <w:rsid w:val="00132A94"/>
    <w:rsid w:val="00132EBD"/>
    <w:rsid w:val="00133264"/>
    <w:rsid w:val="00134237"/>
    <w:rsid w:val="00134E0D"/>
    <w:rsid w:val="00135A25"/>
    <w:rsid w:val="00136580"/>
    <w:rsid w:val="00136742"/>
    <w:rsid w:val="0013684E"/>
    <w:rsid w:val="00137585"/>
    <w:rsid w:val="00137F82"/>
    <w:rsid w:val="00140077"/>
    <w:rsid w:val="0014112C"/>
    <w:rsid w:val="001413A9"/>
    <w:rsid w:val="00141AD8"/>
    <w:rsid w:val="00141B4D"/>
    <w:rsid w:val="0014270F"/>
    <w:rsid w:val="00142D98"/>
    <w:rsid w:val="00143115"/>
    <w:rsid w:val="001439D6"/>
    <w:rsid w:val="001442AD"/>
    <w:rsid w:val="00144E0F"/>
    <w:rsid w:val="001451DE"/>
    <w:rsid w:val="00146344"/>
    <w:rsid w:val="00146A66"/>
    <w:rsid w:val="00147BAE"/>
    <w:rsid w:val="00150204"/>
    <w:rsid w:val="00150D85"/>
    <w:rsid w:val="00150F27"/>
    <w:rsid w:val="00151027"/>
    <w:rsid w:val="00151189"/>
    <w:rsid w:val="00151329"/>
    <w:rsid w:val="00151438"/>
    <w:rsid w:val="00151481"/>
    <w:rsid w:val="001519A9"/>
    <w:rsid w:val="001526C7"/>
    <w:rsid w:val="00153023"/>
    <w:rsid w:val="00153222"/>
    <w:rsid w:val="00153AE1"/>
    <w:rsid w:val="00153E99"/>
    <w:rsid w:val="00154416"/>
    <w:rsid w:val="00154A07"/>
    <w:rsid w:val="00154E80"/>
    <w:rsid w:val="0015535F"/>
    <w:rsid w:val="00155586"/>
    <w:rsid w:val="001556BA"/>
    <w:rsid w:val="0015605E"/>
    <w:rsid w:val="001561AF"/>
    <w:rsid w:val="00156A83"/>
    <w:rsid w:val="00156CFD"/>
    <w:rsid w:val="001603FA"/>
    <w:rsid w:val="001604BC"/>
    <w:rsid w:val="00161144"/>
    <w:rsid w:val="00161E5B"/>
    <w:rsid w:val="001637DC"/>
    <w:rsid w:val="00163CD3"/>
    <w:rsid w:val="001649D6"/>
    <w:rsid w:val="00164C8F"/>
    <w:rsid w:val="00164D55"/>
    <w:rsid w:val="00166140"/>
    <w:rsid w:val="001677F4"/>
    <w:rsid w:val="0016799C"/>
    <w:rsid w:val="00167DA0"/>
    <w:rsid w:val="001705F9"/>
    <w:rsid w:val="0017146A"/>
    <w:rsid w:val="00171637"/>
    <w:rsid w:val="00171FFB"/>
    <w:rsid w:val="001724B9"/>
    <w:rsid w:val="0017264A"/>
    <w:rsid w:val="00172665"/>
    <w:rsid w:val="00172ED7"/>
    <w:rsid w:val="0017337D"/>
    <w:rsid w:val="00173591"/>
    <w:rsid w:val="00173F57"/>
    <w:rsid w:val="00174971"/>
    <w:rsid w:val="00176470"/>
    <w:rsid w:val="001768A6"/>
    <w:rsid w:val="00177782"/>
    <w:rsid w:val="00177A95"/>
    <w:rsid w:val="00177CDA"/>
    <w:rsid w:val="00177CFF"/>
    <w:rsid w:val="0018008F"/>
    <w:rsid w:val="00180A23"/>
    <w:rsid w:val="00180AE7"/>
    <w:rsid w:val="00180D7C"/>
    <w:rsid w:val="00181013"/>
    <w:rsid w:val="00183AE0"/>
    <w:rsid w:val="0018413D"/>
    <w:rsid w:val="00184314"/>
    <w:rsid w:val="001848C4"/>
    <w:rsid w:val="00184F7D"/>
    <w:rsid w:val="00185746"/>
    <w:rsid w:val="00185AD0"/>
    <w:rsid w:val="00186513"/>
    <w:rsid w:val="0018675A"/>
    <w:rsid w:val="00186E23"/>
    <w:rsid w:val="00186E29"/>
    <w:rsid w:val="00186EE8"/>
    <w:rsid w:val="0018781F"/>
    <w:rsid w:val="00187962"/>
    <w:rsid w:val="00190CFC"/>
    <w:rsid w:val="00190D32"/>
    <w:rsid w:val="0019101F"/>
    <w:rsid w:val="00191DC1"/>
    <w:rsid w:val="0019252E"/>
    <w:rsid w:val="00192A0B"/>
    <w:rsid w:val="00192FF0"/>
    <w:rsid w:val="00193154"/>
    <w:rsid w:val="001935B3"/>
    <w:rsid w:val="0019363C"/>
    <w:rsid w:val="00193821"/>
    <w:rsid w:val="00193AF6"/>
    <w:rsid w:val="001940B4"/>
    <w:rsid w:val="00194531"/>
    <w:rsid w:val="00194C01"/>
    <w:rsid w:val="00195960"/>
    <w:rsid w:val="001962B7"/>
    <w:rsid w:val="00196313"/>
    <w:rsid w:val="00196444"/>
    <w:rsid w:val="00197AFA"/>
    <w:rsid w:val="001A03DB"/>
    <w:rsid w:val="001A0538"/>
    <w:rsid w:val="001A0864"/>
    <w:rsid w:val="001A1056"/>
    <w:rsid w:val="001A188A"/>
    <w:rsid w:val="001A1D39"/>
    <w:rsid w:val="001A2168"/>
    <w:rsid w:val="001A2496"/>
    <w:rsid w:val="001A2AE4"/>
    <w:rsid w:val="001A2B92"/>
    <w:rsid w:val="001A2CAB"/>
    <w:rsid w:val="001A4880"/>
    <w:rsid w:val="001A4C07"/>
    <w:rsid w:val="001A4F7E"/>
    <w:rsid w:val="001A51F3"/>
    <w:rsid w:val="001A544E"/>
    <w:rsid w:val="001A55C4"/>
    <w:rsid w:val="001A5DD8"/>
    <w:rsid w:val="001A6349"/>
    <w:rsid w:val="001A6583"/>
    <w:rsid w:val="001A6F62"/>
    <w:rsid w:val="001A72BB"/>
    <w:rsid w:val="001A7998"/>
    <w:rsid w:val="001A7EEF"/>
    <w:rsid w:val="001B0DEA"/>
    <w:rsid w:val="001B17FA"/>
    <w:rsid w:val="001B1C7E"/>
    <w:rsid w:val="001B2B82"/>
    <w:rsid w:val="001B3728"/>
    <w:rsid w:val="001B3980"/>
    <w:rsid w:val="001B449F"/>
    <w:rsid w:val="001B44F2"/>
    <w:rsid w:val="001B46C2"/>
    <w:rsid w:val="001B48FA"/>
    <w:rsid w:val="001B4AA4"/>
    <w:rsid w:val="001B4ECF"/>
    <w:rsid w:val="001B5E92"/>
    <w:rsid w:val="001B6D68"/>
    <w:rsid w:val="001B73D8"/>
    <w:rsid w:val="001B79E4"/>
    <w:rsid w:val="001C00C4"/>
    <w:rsid w:val="001C09CC"/>
    <w:rsid w:val="001C0D52"/>
    <w:rsid w:val="001C1183"/>
    <w:rsid w:val="001C18CF"/>
    <w:rsid w:val="001C18E8"/>
    <w:rsid w:val="001C1907"/>
    <w:rsid w:val="001C1DB0"/>
    <w:rsid w:val="001C271B"/>
    <w:rsid w:val="001C296B"/>
    <w:rsid w:val="001C2B47"/>
    <w:rsid w:val="001C30A6"/>
    <w:rsid w:val="001C33F4"/>
    <w:rsid w:val="001C41A8"/>
    <w:rsid w:val="001C4831"/>
    <w:rsid w:val="001C550D"/>
    <w:rsid w:val="001C5590"/>
    <w:rsid w:val="001C5C0A"/>
    <w:rsid w:val="001C5D13"/>
    <w:rsid w:val="001C5EDA"/>
    <w:rsid w:val="001C6407"/>
    <w:rsid w:val="001C6540"/>
    <w:rsid w:val="001C683E"/>
    <w:rsid w:val="001C6ECB"/>
    <w:rsid w:val="001D02BA"/>
    <w:rsid w:val="001D032E"/>
    <w:rsid w:val="001D07AC"/>
    <w:rsid w:val="001D09A6"/>
    <w:rsid w:val="001D1E49"/>
    <w:rsid w:val="001D30EE"/>
    <w:rsid w:val="001D3197"/>
    <w:rsid w:val="001D3278"/>
    <w:rsid w:val="001D46E5"/>
    <w:rsid w:val="001D4F9D"/>
    <w:rsid w:val="001D50F6"/>
    <w:rsid w:val="001D6139"/>
    <w:rsid w:val="001D63E6"/>
    <w:rsid w:val="001D6D07"/>
    <w:rsid w:val="001D7DCE"/>
    <w:rsid w:val="001E0062"/>
    <w:rsid w:val="001E0847"/>
    <w:rsid w:val="001E08D3"/>
    <w:rsid w:val="001E0D49"/>
    <w:rsid w:val="001E0FEC"/>
    <w:rsid w:val="001E1099"/>
    <w:rsid w:val="001E195D"/>
    <w:rsid w:val="001E29BE"/>
    <w:rsid w:val="001E308F"/>
    <w:rsid w:val="001E3714"/>
    <w:rsid w:val="001E3F3A"/>
    <w:rsid w:val="001E492B"/>
    <w:rsid w:val="001E5157"/>
    <w:rsid w:val="001E53B1"/>
    <w:rsid w:val="001E5CB3"/>
    <w:rsid w:val="001E7238"/>
    <w:rsid w:val="001F1007"/>
    <w:rsid w:val="001F17E5"/>
    <w:rsid w:val="001F1E75"/>
    <w:rsid w:val="001F2335"/>
    <w:rsid w:val="001F27EE"/>
    <w:rsid w:val="001F3FFA"/>
    <w:rsid w:val="001F4602"/>
    <w:rsid w:val="001F53D1"/>
    <w:rsid w:val="001F5E01"/>
    <w:rsid w:val="001F6F52"/>
    <w:rsid w:val="001F7C2B"/>
    <w:rsid w:val="0020071E"/>
    <w:rsid w:val="002008D4"/>
    <w:rsid w:val="002013AB"/>
    <w:rsid w:val="0020361A"/>
    <w:rsid w:val="00203A67"/>
    <w:rsid w:val="00203E5B"/>
    <w:rsid w:val="00203FAD"/>
    <w:rsid w:val="0020508B"/>
    <w:rsid w:val="0020581B"/>
    <w:rsid w:val="00205D5B"/>
    <w:rsid w:val="0020670F"/>
    <w:rsid w:val="00206806"/>
    <w:rsid w:val="00206E51"/>
    <w:rsid w:val="00207B67"/>
    <w:rsid w:val="00210007"/>
    <w:rsid w:val="002106D2"/>
    <w:rsid w:val="00210EFD"/>
    <w:rsid w:val="0021116A"/>
    <w:rsid w:val="002111B1"/>
    <w:rsid w:val="00211B3D"/>
    <w:rsid w:val="00211E14"/>
    <w:rsid w:val="00213000"/>
    <w:rsid w:val="00213387"/>
    <w:rsid w:val="00213997"/>
    <w:rsid w:val="0021451D"/>
    <w:rsid w:val="00214C82"/>
    <w:rsid w:val="00214D9F"/>
    <w:rsid w:val="002154AB"/>
    <w:rsid w:val="0021550D"/>
    <w:rsid w:val="0021561D"/>
    <w:rsid w:val="00215FD7"/>
    <w:rsid w:val="002161C9"/>
    <w:rsid w:val="002170DA"/>
    <w:rsid w:val="0021744E"/>
    <w:rsid w:val="0021795A"/>
    <w:rsid w:val="002205C4"/>
    <w:rsid w:val="0022084E"/>
    <w:rsid w:val="00220BB3"/>
    <w:rsid w:val="002212A1"/>
    <w:rsid w:val="00221E54"/>
    <w:rsid w:val="00221F8E"/>
    <w:rsid w:val="002223E7"/>
    <w:rsid w:val="0022355E"/>
    <w:rsid w:val="0022400D"/>
    <w:rsid w:val="0022411C"/>
    <w:rsid w:val="0022469C"/>
    <w:rsid w:val="00224D09"/>
    <w:rsid w:val="002252CC"/>
    <w:rsid w:val="00225DD5"/>
    <w:rsid w:val="002260B7"/>
    <w:rsid w:val="00226EB0"/>
    <w:rsid w:val="00227884"/>
    <w:rsid w:val="002278BA"/>
    <w:rsid w:val="00227A82"/>
    <w:rsid w:val="0023009D"/>
    <w:rsid w:val="00230DDE"/>
    <w:rsid w:val="00230F1F"/>
    <w:rsid w:val="00230F6D"/>
    <w:rsid w:val="00231172"/>
    <w:rsid w:val="00231222"/>
    <w:rsid w:val="0023181D"/>
    <w:rsid w:val="00231905"/>
    <w:rsid w:val="0023214F"/>
    <w:rsid w:val="002325C2"/>
    <w:rsid w:val="002329D2"/>
    <w:rsid w:val="00232BA1"/>
    <w:rsid w:val="00232EC4"/>
    <w:rsid w:val="00232EEE"/>
    <w:rsid w:val="002331A4"/>
    <w:rsid w:val="00233981"/>
    <w:rsid w:val="002346A6"/>
    <w:rsid w:val="00235116"/>
    <w:rsid w:val="00235AC6"/>
    <w:rsid w:val="002361C7"/>
    <w:rsid w:val="0023644D"/>
    <w:rsid w:val="002366EB"/>
    <w:rsid w:val="00236C46"/>
    <w:rsid w:val="00236D88"/>
    <w:rsid w:val="00237572"/>
    <w:rsid w:val="00240163"/>
    <w:rsid w:val="00240C12"/>
    <w:rsid w:val="00240F8B"/>
    <w:rsid w:val="00241019"/>
    <w:rsid w:val="002416EC"/>
    <w:rsid w:val="0024181E"/>
    <w:rsid w:val="0024211B"/>
    <w:rsid w:val="00242651"/>
    <w:rsid w:val="002429E2"/>
    <w:rsid w:val="00242BD8"/>
    <w:rsid w:val="002433CF"/>
    <w:rsid w:val="002441DE"/>
    <w:rsid w:val="00244498"/>
    <w:rsid w:val="00244578"/>
    <w:rsid w:val="002446F6"/>
    <w:rsid w:val="002446FD"/>
    <w:rsid w:val="00244875"/>
    <w:rsid w:val="00244B07"/>
    <w:rsid w:val="00244E14"/>
    <w:rsid w:val="00245C63"/>
    <w:rsid w:val="002462E1"/>
    <w:rsid w:val="00246A4F"/>
    <w:rsid w:val="00247FE7"/>
    <w:rsid w:val="0025073B"/>
    <w:rsid w:val="002508A0"/>
    <w:rsid w:val="002530BA"/>
    <w:rsid w:val="002531BC"/>
    <w:rsid w:val="002531E0"/>
    <w:rsid w:val="00253475"/>
    <w:rsid w:val="002535BA"/>
    <w:rsid w:val="002536AF"/>
    <w:rsid w:val="00254111"/>
    <w:rsid w:val="002541DD"/>
    <w:rsid w:val="002545FB"/>
    <w:rsid w:val="00254C3C"/>
    <w:rsid w:val="0025523E"/>
    <w:rsid w:val="002558CE"/>
    <w:rsid w:val="00255AEB"/>
    <w:rsid w:val="00255BFC"/>
    <w:rsid w:val="00256299"/>
    <w:rsid w:val="00256AB4"/>
    <w:rsid w:val="0025783A"/>
    <w:rsid w:val="002603B1"/>
    <w:rsid w:val="002606AE"/>
    <w:rsid w:val="002606E9"/>
    <w:rsid w:val="002608A2"/>
    <w:rsid w:val="00261EA2"/>
    <w:rsid w:val="0026318A"/>
    <w:rsid w:val="002632BC"/>
    <w:rsid w:val="00263941"/>
    <w:rsid w:val="00263ACE"/>
    <w:rsid w:val="00263D16"/>
    <w:rsid w:val="002643E2"/>
    <w:rsid w:val="00265185"/>
    <w:rsid w:val="00265395"/>
    <w:rsid w:val="002653C4"/>
    <w:rsid w:val="00265711"/>
    <w:rsid w:val="00265A1D"/>
    <w:rsid w:val="00265FCB"/>
    <w:rsid w:val="0026615C"/>
    <w:rsid w:val="002700FD"/>
    <w:rsid w:val="00270BFE"/>
    <w:rsid w:val="00272806"/>
    <w:rsid w:val="002729BB"/>
    <w:rsid w:val="00272BD3"/>
    <w:rsid w:val="00272FBB"/>
    <w:rsid w:val="0027321C"/>
    <w:rsid w:val="002737C6"/>
    <w:rsid w:val="002740CE"/>
    <w:rsid w:val="002740D1"/>
    <w:rsid w:val="002746AE"/>
    <w:rsid w:val="00274B9E"/>
    <w:rsid w:val="002751E6"/>
    <w:rsid w:val="002752F7"/>
    <w:rsid w:val="002757BB"/>
    <w:rsid w:val="00275F60"/>
    <w:rsid w:val="002768D4"/>
    <w:rsid w:val="00276A80"/>
    <w:rsid w:val="0027706D"/>
    <w:rsid w:val="00280365"/>
    <w:rsid w:val="00280936"/>
    <w:rsid w:val="00280CCF"/>
    <w:rsid w:val="00280CEF"/>
    <w:rsid w:val="00280E3B"/>
    <w:rsid w:val="00281E0F"/>
    <w:rsid w:val="00282461"/>
    <w:rsid w:val="00282855"/>
    <w:rsid w:val="00282F84"/>
    <w:rsid w:val="00283339"/>
    <w:rsid w:val="002839E1"/>
    <w:rsid w:val="00283D7E"/>
    <w:rsid w:val="00284203"/>
    <w:rsid w:val="00284CEF"/>
    <w:rsid w:val="002855D7"/>
    <w:rsid w:val="0028582B"/>
    <w:rsid w:val="00285CC4"/>
    <w:rsid w:val="00285E83"/>
    <w:rsid w:val="00286315"/>
    <w:rsid w:val="00286760"/>
    <w:rsid w:val="00287936"/>
    <w:rsid w:val="00287A10"/>
    <w:rsid w:val="0029059C"/>
    <w:rsid w:val="00290AFC"/>
    <w:rsid w:val="00290C39"/>
    <w:rsid w:val="0029132D"/>
    <w:rsid w:val="00291C41"/>
    <w:rsid w:val="00291E5D"/>
    <w:rsid w:val="002928A3"/>
    <w:rsid w:val="00292B90"/>
    <w:rsid w:val="00293A82"/>
    <w:rsid w:val="00293B6D"/>
    <w:rsid w:val="002945FE"/>
    <w:rsid w:val="00294E9E"/>
    <w:rsid w:val="00294FF7"/>
    <w:rsid w:val="0029554E"/>
    <w:rsid w:val="00295FBB"/>
    <w:rsid w:val="002960C5"/>
    <w:rsid w:val="002970D7"/>
    <w:rsid w:val="00297275"/>
    <w:rsid w:val="00297ACB"/>
    <w:rsid w:val="002A02F5"/>
    <w:rsid w:val="002A0EE8"/>
    <w:rsid w:val="002A13B5"/>
    <w:rsid w:val="002A22EB"/>
    <w:rsid w:val="002A2466"/>
    <w:rsid w:val="002A3D46"/>
    <w:rsid w:val="002A3E40"/>
    <w:rsid w:val="002A40BC"/>
    <w:rsid w:val="002A4326"/>
    <w:rsid w:val="002A44C4"/>
    <w:rsid w:val="002A4826"/>
    <w:rsid w:val="002A5650"/>
    <w:rsid w:val="002A5747"/>
    <w:rsid w:val="002A6AA1"/>
    <w:rsid w:val="002A794F"/>
    <w:rsid w:val="002B0D67"/>
    <w:rsid w:val="002B0F5A"/>
    <w:rsid w:val="002B0F5F"/>
    <w:rsid w:val="002B10B6"/>
    <w:rsid w:val="002B16BA"/>
    <w:rsid w:val="002B1D0C"/>
    <w:rsid w:val="002B1EEA"/>
    <w:rsid w:val="002B2169"/>
    <w:rsid w:val="002B2284"/>
    <w:rsid w:val="002B264E"/>
    <w:rsid w:val="002B2A26"/>
    <w:rsid w:val="002B2C5A"/>
    <w:rsid w:val="002B2EE5"/>
    <w:rsid w:val="002B3CDA"/>
    <w:rsid w:val="002B496A"/>
    <w:rsid w:val="002B4D3D"/>
    <w:rsid w:val="002B5703"/>
    <w:rsid w:val="002B70AD"/>
    <w:rsid w:val="002C0760"/>
    <w:rsid w:val="002C0D1F"/>
    <w:rsid w:val="002C1EFC"/>
    <w:rsid w:val="002C2A8A"/>
    <w:rsid w:val="002C300D"/>
    <w:rsid w:val="002C3050"/>
    <w:rsid w:val="002C30C1"/>
    <w:rsid w:val="002C4404"/>
    <w:rsid w:val="002C47E6"/>
    <w:rsid w:val="002C49BD"/>
    <w:rsid w:val="002C4C57"/>
    <w:rsid w:val="002C5C76"/>
    <w:rsid w:val="002C5FCE"/>
    <w:rsid w:val="002C63EA"/>
    <w:rsid w:val="002C6735"/>
    <w:rsid w:val="002C68E5"/>
    <w:rsid w:val="002C6D29"/>
    <w:rsid w:val="002C769D"/>
    <w:rsid w:val="002C797F"/>
    <w:rsid w:val="002D0D7A"/>
    <w:rsid w:val="002D0E19"/>
    <w:rsid w:val="002D15FF"/>
    <w:rsid w:val="002D16D1"/>
    <w:rsid w:val="002D19F1"/>
    <w:rsid w:val="002D2664"/>
    <w:rsid w:val="002D2F1F"/>
    <w:rsid w:val="002D31A7"/>
    <w:rsid w:val="002D32BC"/>
    <w:rsid w:val="002D35DA"/>
    <w:rsid w:val="002D36ED"/>
    <w:rsid w:val="002D4383"/>
    <w:rsid w:val="002D4A82"/>
    <w:rsid w:val="002D4BBC"/>
    <w:rsid w:val="002D5E1E"/>
    <w:rsid w:val="002D67E6"/>
    <w:rsid w:val="002D6D35"/>
    <w:rsid w:val="002D76CE"/>
    <w:rsid w:val="002D77B1"/>
    <w:rsid w:val="002E048C"/>
    <w:rsid w:val="002E04DC"/>
    <w:rsid w:val="002E0944"/>
    <w:rsid w:val="002E0BAD"/>
    <w:rsid w:val="002E12E7"/>
    <w:rsid w:val="002E1459"/>
    <w:rsid w:val="002E1AEA"/>
    <w:rsid w:val="002E201E"/>
    <w:rsid w:val="002E2029"/>
    <w:rsid w:val="002E25EA"/>
    <w:rsid w:val="002E28E3"/>
    <w:rsid w:val="002E302F"/>
    <w:rsid w:val="002E3577"/>
    <w:rsid w:val="002E3665"/>
    <w:rsid w:val="002E3CD4"/>
    <w:rsid w:val="002E3E4A"/>
    <w:rsid w:val="002E4006"/>
    <w:rsid w:val="002E417E"/>
    <w:rsid w:val="002E5322"/>
    <w:rsid w:val="002E6708"/>
    <w:rsid w:val="002E6B90"/>
    <w:rsid w:val="002E6FB7"/>
    <w:rsid w:val="002E76E7"/>
    <w:rsid w:val="002E77E6"/>
    <w:rsid w:val="002E7D80"/>
    <w:rsid w:val="002F08C4"/>
    <w:rsid w:val="002F0993"/>
    <w:rsid w:val="002F133C"/>
    <w:rsid w:val="002F154B"/>
    <w:rsid w:val="002F1731"/>
    <w:rsid w:val="002F1B08"/>
    <w:rsid w:val="002F1E66"/>
    <w:rsid w:val="002F1EEA"/>
    <w:rsid w:val="002F2D66"/>
    <w:rsid w:val="002F397B"/>
    <w:rsid w:val="002F3E37"/>
    <w:rsid w:val="002F4B59"/>
    <w:rsid w:val="002F6432"/>
    <w:rsid w:val="002F6995"/>
    <w:rsid w:val="00300BC1"/>
    <w:rsid w:val="00300D4A"/>
    <w:rsid w:val="00300DE7"/>
    <w:rsid w:val="00300FEE"/>
    <w:rsid w:val="003021F1"/>
    <w:rsid w:val="0030235D"/>
    <w:rsid w:val="00302A47"/>
    <w:rsid w:val="00302AB4"/>
    <w:rsid w:val="0030326F"/>
    <w:rsid w:val="003034FE"/>
    <w:rsid w:val="00303D7A"/>
    <w:rsid w:val="00304117"/>
    <w:rsid w:val="0030411E"/>
    <w:rsid w:val="003042CD"/>
    <w:rsid w:val="0030435A"/>
    <w:rsid w:val="00304563"/>
    <w:rsid w:val="003045CA"/>
    <w:rsid w:val="00304820"/>
    <w:rsid w:val="00304B08"/>
    <w:rsid w:val="003062A6"/>
    <w:rsid w:val="00307028"/>
    <w:rsid w:val="0031162A"/>
    <w:rsid w:val="003119D5"/>
    <w:rsid w:val="00312BE8"/>
    <w:rsid w:val="00313851"/>
    <w:rsid w:val="00313C86"/>
    <w:rsid w:val="00313DD8"/>
    <w:rsid w:val="00314122"/>
    <w:rsid w:val="00314206"/>
    <w:rsid w:val="003143A0"/>
    <w:rsid w:val="003144B4"/>
    <w:rsid w:val="003153FA"/>
    <w:rsid w:val="00315E76"/>
    <w:rsid w:val="003167BD"/>
    <w:rsid w:val="00316C71"/>
    <w:rsid w:val="003171D0"/>
    <w:rsid w:val="00317A0B"/>
    <w:rsid w:val="00320203"/>
    <w:rsid w:val="003203B3"/>
    <w:rsid w:val="00320AB7"/>
    <w:rsid w:val="00321221"/>
    <w:rsid w:val="003214B6"/>
    <w:rsid w:val="003225B1"/>
    <w:rsid w:val="003231CC"/>
    <w:rsid w:val="0032406E"/>
    <w:rsid w:val="00324152"/>
    <w:rsid w:val="003247A5"/>
    <w:rsid w:val="00324CE1"/>
    <w:rsid w:val="00324E1C"/>
    <w:rsid w:val="00325229"/>
    <w:rsid w:val="00325E9B"/>
    <w:rsid w:val="0032607A"/>
    <w:rsid w:val="00326C4E"/>
    <w:rsid w:val="00327038"/>
    <w:rsid w:val="003274EA"/>
    <w:rsid w:val="003275EC"/>
    <w:rsid w:val="00327CBE"/>
    <w:rsid w:val="00327FD1"/>
    <w:rsid w:val="0033048C"/>
    <w:rsid w:val="0033066C"/>
    <w:rsid w:val="00330BB5"/>
    <w:rsid w:val="0033107F"/>
    <w:rsid w:val="003317FD"/>
    <w:rsid w:val="00331829"/>
    <w:rsid w:val="00331AB0"/>
    <w:rsid w:val="00331AB8"/>
    <w:rsid w:val="003328DA"/>
    <w:rsid w:val="00332A4D"/>
    <w:rsid w:val="003333F8"/>
    <w:rsid w:val="0033354A"/>
    <w:rsid w:val="00334749"/>
    <w:rsid w:val="00334F84"/>
    <w:rsid w:val="00335406"/>
    <w:rsid w:val="00335A07"/>
    <w:rsid w:val="00336226"/>
    <w:rsid w:val="00336EC5"/>
    <w:rsid w:val="0033780E"/>
    <w:rsid w:val="00337840"/>
    <w:rsid w:val="00337854"/>
    <w:rsid w:val="003401F8"/>
    <w:rsid w:val="00341097"/>
    <w:rsid w:val="003415DA"/>
    <w:rsid w:val="00341B1D"/>
    <w:rsid w:val="00341EC9"/>
    <w:rsid w:val="003420CD"/>
    <w:rsid w:val="00342971"/>
    <w:rsid w:val="003432EA"/>
    <w:rsid w:val="003448C7"/>
    <w:rsid w:val="00344ADC"/>
    <w:rsid w:val="00345150"/>
    <w:rsid w:val="00345713"/>
    <w:rsid w:val="00345F87"/>
    <w:rsid w:val="0034607B"/>
    <w:rsid w:val="003461D7"/>
    <w:rsid w:val="00347210"/>
    <w:rsid w:val="003473D5"/>
    <w:rsid w:val="00347407"/>
    <w:rsid w:val="003476EF"/>
    <w:rsid w:val="003477F5"/>
    <w:rsid w:val="00347D55"/>
    <w:rsid w:val="00347EDD"/>
    <w:rsid w:val="00350533"/>
    <w:rsid w:val="003506FA"/>
    <w:rsid w:val="00350A19"/>
    <w:rsid w:val="00350C30"/>
    <w:rsid w:val="00352216"/>
    <w:rsid w:val="0035249D"/>
    <w:rsid w:val="0035308B"/>
    <w:rsid w:val="003533B3"/>
    <w:rsid w:val="0035522B"/>
    <w:rsid w:val="00355BAC"/>
    <w:rsid w:val="00356404"/>
    <w:rsid w:val="00356E93"/>
    <w:rsid w:val="003571B1"/>
    <w:rsid w:val="0035724B"/>
    <w:rsid w:val="00357EA6"/>
    <w:rsid w:val="00360988"/>
    <w:rsid w:val="00360C53"/>
    <w:rsid w:val="00360E62"/>
    <w:rsid w:val="00360F99"/>
    <w:rsid w:val="00361214"/>
    <w:rsid w:val="003613B7"/>
    <w:rsid w:val="0036238B"/>
    <w:rsid w:val="00362608"/>
    <w:rsid w:val="003628D1"/>
    <w:rsid w:val="003631AE"/>
    <w:rsid w:val="003638A9"/>
    <w:rsid w:val="00364207"/>
    <w:rsid w:val="00364A69"/>
    <w:rsid w:val="00364A72"/>
    <w:rsid w:val="00364B22"/>
    <w:rsid w:val="00364C79"/>
    <w:rsid w:val="00364C8D"/>
    <w:rsid w:val="00364E56"/>
    <w:rsid w:val="00365556"/>
    <w:rsid w:val="00365E3B"/>
    <w:rsid w:val="0036667F"/>
    <w:rsid w:val="00367A08"/>
    <w:rsid w:val="00367E1E"/>
    <w:rsid w:val="00370096"/>
    <w:rsid w:val="00371048"/>
    <w:rsid w:val="003718EB"/>
    <w:rsid w:val="00371C5A"/>
    <w:rsid w:val="003723D9"/>
    <w:rsid w:val="003725AA"/>
    <w:rsid w:val="003726CB"/>
    <w:rsid w:val="00372AAD"/>
    <w:rsid w:val="00374C57"/>
    <w:rsid w:val="00375109"/>
    <w:rsid w:val="0037533A"/>
    <w:rsid w:val="00375721"/>
    <w:rsid w:val="00375933"/>
    <w:rsid w:val="00375BAA"/>
    <w:rsid w:val="003761B7"/>
    <w:rsid w:val="00376AB7"/>
    <w:rsid w:val="00380047"/>
    <w:rsid w:val="00380D8E"/>
    <w:rsid w:val="003810CE"/>
    <w:rsid w:val="00382050"/>
    <w:rsid w:val="0038300A"/>
    <w:rsid w:val="00383DDB"/>
    <w:rsid w:val="00383EA8"/>
    <w:rsid w:val="003840D8"/>
    <w:rsid w:val="003845D7"/>
    <w:rsid w:val="00384737"/>
    <w:rsid w:val="0038543B"/>
    <w:rsid w:val="003856BB"/>
    <w:rsid w:val="0038608E"/>
    <w:rsid w:val="00386D19"/>
    <w:rsid w:val="0038717B"/>
    <w:rsid w:val="00390DF5"/>
    <w:rsid w:val="003923BC"/>
    <w:rsid w:val="00392534"/>
    <w:rsid w:val="0039269F"/>
    <w:rsid w:val="003939A7"/>
    <w:rsid w:val="00393D4D"/>
    <w:rsid w:val="00395085"/>
    <w:rsid w:val="00395605"/>
    <w:rsid w:val="00396257"/>
    <w:rsid w:val="00396C3A"/>
    <w:rsid w:val="00397DD1"/>
    <w:rsid w:val="003A0F42"/>
    <w:rsid w:val="003A108D"/>
    <w:rsid w:val="003A169B"/>
    <w:rsid w:val="003A1931"/>
    <w:rsid w:val="003A28E0"/>
    <w:rsid w:val="003A291F"/>
    <w:rsid w:val="003A2A37"/>
    <w:rsid w:val="003A3680"/>
    <w:rsid w:val="003A3C5B"/>
    <w:rsid w:val="003A49C3"/>
    <w:rsid w:val="003A51EF"/>
    <w:rsid w:val="003A5DA1"/>
    <w:rsid w:val="003A6733"/>
    <w:rsid w:val="003A6F95"/>
    <w:rsid w:val="003A7FC4"/>
    <w:rsid w:val="003B02CE"/>
    <w:rsid w:val="003B09F5"/>
    <w:rsid w:val="003B0BD2"/>
    <w:rsid w:val="003B1914"/>
    <w:rsid w:val="003B1F7B"/>
    <w:rsid w:val="003B2C8C"/>
    <w:rsid w:val="003B2DB5"/>
    <w:rsid w:val="003B4B47"/>
    <w:rsid w:val="003B51FC"/>
    <w:rsid w:val="003B56F6"/>
    <w:rsid w:val="003B627A"/>
    <w:rsid w:val="003B6A3D"/>
    <w:rsid w:val="003B6F46"/>
    <w:rsid w:val="003B706A"/>
    <w:rsid w:val="003B70A6"/>
    <w:rsid w:val="003C07E9"/>
    <w:rsid w:val="003C1452"/>
    <w:rsid w:val="003C18ED"/>
    <w:rsid w:val="003C2222"/>
    <w:rsid w:val="003C2FA0"/>
    <w:rsid w:val="003C30E7"/>
    <w:rsid w:val="003C3139"/>
    <w:rsid w:val="003C39F8"/>
    <w:rsid w:val="003C4A5F"/>
    <w:rsid w:val="003C549D"/>
    <w:rsid w:val="003C587A"/>
    <w:rsid w:val="003C6CD3"/>
    <w:rsid w:val="003C72E2"/>
    <w:rsid w:val="003C7674"/>
    <w:rsid w:val="003C7A33"/>
    <w:rsid w:val="003C7F94"/>
    <w:rsid w:val="003D0011"/>
    <w:rsid w:val="003D0410"/>
    <w:rsid w:val="003D08E8"/>
    <w:rsid w:val="003D0E07"/>
    <w:rsid w:val="003D1347"/>
    <w:rsid w:val="003D1759"/>
    <w:rsid w:val="003D18B4"/>
    <w:rsid w:val="003D1E16"/>
    <w:rsid w:val="003D21D3"/>
    <w:rsid w:val="003D2252"/>
    <w:rsid w:val="003D3BB5"/>
    <w:rsid w:val="003D4188"/>
    <w:rsid w:val="003D41BA"/>
    <w:rsid w:val="003D4642"/>
    <w:rsid w:val="003D4CEA"/>
    <w:rsid w:val="003D4DD2"/>
    <w:rsid w:val="003D4F83"/>
    <w:rsid w:val="003D5089"/>
    <w:rsid w:val="003D5633"/>
    <w:rsid w:val="003D58FD"/>
    <w:rsid w:val="003D5C9F"/>
    <w:rsid w:val="003D602E"/>
    <w:rsid w:val="003D623B"/>
    <w:rsid w:val="003D63DF"/>
    <w:rsid w:val="003D641E"/>
    <w:rsid w:val="003D6D31"/>
    <w:rsid w:val="003D6E4C"/>
    <w:rsid w:val="003D73E4"/>
    <w:rsid w:val="003D766E"/>
    <w:rsid w:val="003E03E7"/>
    <w:rsid w:val="003E0B95"/>
    <w:rsid w:val="003E0C91"/>
    <w:rsid w:val="003E18C4"/>
    <w:rsid w:val="003E1AF9"/>
    <w:rsid w:val="003E2152"/>
    <w:rsid w:val="003E22E5"/>
    <w:rsid w:val="003E2482"/>
    <w:rsid w:val="003E26AB"/>
    <w:rsid w:val="003E2CA8"/>
    <w:rsid w:val="003E312B"/>
    <w:rsid w:val="003E3672"/>
    <w:rsid w:val="003E4755"/>
    <w:rsid w:val="003E49DA"/>
    <w:rsid w:val="003E55F0"/>
    <w:rsid w:val="003E59B8"/>
    <w:rsid w:val="003E60B3"/>
    <w:rsid w:val="003E632F"/>
    <w:rsid w:val="003E668D"/>
    <w:rsid w:val="003E6707"/>
    <w:rsid w:val="003E7ADF"/>
    <w:rsid w:val="003F01A1"/>
    <w:rsid w:val="003F01E6"/>
    <w:rsid w:val="003F098D"/>
    <w:rsid w:val="003F0A4C"/>
    <w:rsid w:val="003F0FEB"/>
    <w:rsid w:val="003F1538"/>
    <w:rsid w:val="003F225B"/>
    <w:rsid w:val="003F230C"/>
    <w:rsid w:val="003F27CC"/>
    <w:rsid w:val="003F3439"/>
    <w:rsid w:val="003F3917"/>
    <w:rsid w:val="003F3EA5"/>
    <w:rsid w:val="003F508D"/>
    <w:rsid w:val="003F5500"/>
    <w:rsid w:val="003F6237"/>
    <w:rsid w:val="003F6C9D"/>
    <w:rsid w:val="003F7693"/>
    <w:rsid w:val="003F7FD7"/>
    <w:rsid w:val="004001F5"/>
    <w:rsid w:val="00400C19"/>
    <w:rsid w:val="004011B3"/>
    <w:rsid w:val="00401502"/>
    <w:rsid w:val="00401A0A"/>
    <w:rsid w:val="00401A6A"/>
    <w:rsid w:val="00401C71"/>
    <w:rsid w:val="00401D28"/>
    <w:rsid w:val="0040273E"/>
    <w:rsid w:val="00402AC4"/>
    <w:rsid w:val="00402C81"/>
    <w:rsid w:val="00402D09"/>
    <w:rsid w:val="00403294"/>
    <w:rsid w:val="004032EC"/>
    <w:rsid w:val="00403ADE"/>
    <w:rsid w:val="00404A68"/>
    <w:rsid w:val="00404C9B"/>
    <w:rsid w:val="0040510C"/>
    <w:rsid w:val="0040562C"/>
    <w:rsid w:val="00405738"/>
    <w:rsid w:val="00405932"/>
    <w:rsid w:val="00406E58"/>
    <w:rsid w:val="00406EE7"/>
    <w:rsid w:val="00406F07"/>
    <w:rsid w:val="00406FA2"/>
    <w:rsid w:val="00407323"/>
    <w:rsid w:val="00407575"/>
    <w:rsid w:val="00407A95"/>
    <w:rsid w:val="00407B50"/>
    <w:rsid w:val="00410459"/>
    <w:rsid w:val="004108FF"/>
    <w:rsid w:val="00411D3F"/>
    <w:rsid w:val="00412268"/>
    <w:rsid w:val="0041238C"/>
    <w:rsid w:val="0041243F"/>
    <w:rsid w:val="004124A0"/>
    <w:rsid w:val="0041260C"/>
    <w:rsid w:val="00412E5A"/>
    <w:rsid w:val="0041364C"/>
    <w:rsid w:val="00414927"/>
    <w:rsid w:val="00414BE2"/>
    <w:rsid w:val="00415148"/>
    <w:rsid w:val="00415EE9"/>
    <w:rsid w:val="004160D3"/>
    <w:rsid w:val="00416513"/>
    <w:rsid w:val="00416828"/>
    <w:rsid w:val="00416B99"/>
    <w:rsid w:val="00417335"/>
    <w:rsid w:val="004179EB"/>
    <w:rsid w:val="00417B8C"/>
    <w:rsid w:val="004204A2"/>
    <w:rsid w:val="00420C93"/>
    <w:rsid w:val="00420E4A"/>
    <w:rsid w:val="00420E64"/>
    <w:rsid w:val="004211F1"/>
    <w:rsid w:val="0042155C"/>
    <w:rsid w:val="00421569"/>
    <w:rsid w:val="00421628"/>
    <w:rsid w:val="004221BD"/>
    <w:rsid w:val="00422A61"/>
    <w:rsid w:val="00422CF4"/>
    <w:rsid w:val="00422F2E"/>
    <w:rsid w:val="00423BA2"/>
    <w:rsid w:val="00424747"/>
    <w:rsid w:val="0042533C"/>
    <w:rsid w:val="00425D17"/>
    <w:rsid w:val="0042644C"/>
    <w:rsid w:val="004265C3"/>
    <w:rsid w:val="004268AB"/>
    <w:rsid w:val="00426ABE"/>
    <w:rsid w:val="00426D3F"/>
    <w:rsid w:val="00427BE9"/>
    <w:rsid w:val="00427BF1"/>
    <w:rsid w:val="00427CD5"/>
    <w:rsid w:val="004300A0"/>
    <w:rsid w:val="00430680"/>
    <w:rsid w:val="004308BB"/>
    <w:rsid w:val="00430C17"/>
    <w:rsid w:val="004317D4"/>
    <w:rsid w:val="0043193C"/>
    <w:rsid w:val="00432B0E"/>
    <w:rsid w:val="00434BD6"/>
    <w:rsid w:val="004352D7"/>
    <w:rsid w:val="00435AB4"/>
    <w:rsid w:val="00436538"/>
    <w:rsid w:val="00436EE4"/>
    <w:rsid w:val="0043735E"/>
    <w:rsid w:val="004375E5"/>
    <w:rsid w:val="00437AE5"/>
    <w:rsid w:val="004400AC"/>
    <w:rsid w:val="0044093F"/>
    <w:rsid w:val="0044207F"/>
    <w:rsid w:val="004438C0"/>
    <w:rsid w:val="00444201"/>
    <w:rsid w:val="00445D1A"/>
    <w:rsid w:val="004464A2"/>
    <w:rsid w:val="00446729"/>
    <w:rsid w:val="004468DC"/>
    <w:rsid w:val="00446A13"/>
    <w:rsid w:val="00446D6D"/>
    <w:rsid w:val="00447664"/>
    <w:rsid w:val="004508E3"/>
    <w:rsid w:val="00450959"/>
    <w:rsid w:val="0045097A"/>
    <w:rsid w:val="00450A34"/>
    <w:rsid w:val="00450DD6"/>
    <w:rsid w:val="00451206"/>
    <w:rsid w:val="00451655"/>
    <w:rsid w:val="0045191B"/>
    <w:rsid w:val="00451938"/>
    <w:rsid w:val="00451E89"/>
    <w:rsid w:val="00452389"/>
    <w:rsid w:val="00452690"/>
    <w:rsid w:val="00452D6D"/>
    <w:rsid w:val="00452DF2"/>
    <w:rsid w:val="00452F6D"/>
    <w:rsid w:val="00453CDD"/>
    <w:rsid w:val="00453F34"/>
    <w:rsid w:val="00455B77"/>
    <w:rsid w:val="00455BD2"/>
    <w:rsid w:val="00455ECE"/>
    <w:rsid w:val="004560BB"/>
    <w:rsid w:val="004561FD"/>
    <w:rsid w:val="00456A90"/>
    <w:rsid w:val="00456DC2"/>
    <w:rsid w:val="004572FF"/>
    <w:rsid w:val="00457C42"/>
    <w:rsid w:val="00457D95"/>
    <w:rsid w:val="00461A92"/>
    <w:rsid w:val="0046240E"/>
    <w:rsid w:val="00462719"/>
    <w:rsid w:val="00463170"/>
    <w:rsid w:val="004648CF"/>
    <w:rsid w:val="0046521A"/>
    <w:rsid w:val="00465976"/>
    <w:rsid w:val="00466965"/>
    <w:rsid w:val="00466A85"/>
    <w:rsid w:val="00467600"/>
    <w:rsid w:val="00467702"/>
    <w:rsid w:val="00467AB7"/>
    <w:rsid w:val="00470031"/>
    <w:rsid w:val="00470388"/>
    <w:rsid w:val="0047058A"/>
    <w:rsid w:val="00470847"/>
    <w:rsid w:val="00470F3C"/>
    <w:rsid w:val="004712D8"/>
    <w:rsid w:val="00471E68"/>
    <w:rsid w:val="00471E88"/>
    <w:rsid w:val="00471EAE"/>
    <w:rsid w:val="00472321"/>
    <w:rsid w:val="00472534"/>
    <w:rsid w:val="004726FC"/>
    <w:rsid w:val="004731AB"/>
    <w:rsid w:val="004744A0"/>
    <w:rsid w:val="0047470A"/>
    <w:rsid w:val="004753F1"/>
    <w:rsid w:val="004757A2"/>
    <w:rsid w:val="004757A9"/>
    <w:rsid w:val="004758E7"/>
    <w:rsid w:val="00475B93"/>
    <w:rsid w:val="00476308"/>
    <w:rsid w:val="004770BC"/>
    <w:rsid w:val="00477588"/>
    <w:rsid w:val="0047767D"/>
    <w:rsid w:val="004803B7"/>
    <w:rsid w:val="0048043E"/>
    <w:rsid w:val="0048078C"/>
    <w:rsid w:val="00480CBD"/>
    <w:rsid w:val="004810C8"/>
    <w:rsid w:val="004813EF"/>
    <w:rsid w:val="00481713"/>
    <w:rsid w:val="004822FD"/>
    <w:rsid w:val="00482CA4"/>
    <w:rsid w:val="00482FEC"/>
    <w:rsid w:val="0048318A"/>
    <w:rsid w:val="004844C5"/>
    <w:rsid w:val="00484D6C"/>
    <w:rsid w:val="00484F44"/>
    <w:rsid w:val="00485454"/>
    <w:rsid w:val="00485D43"/>
    <w:rsid w:val="0048654C"/>
    <w:rsid w:val="00486B51"/>
    <w:rsid w:val="00486C4C"/>
    <w:rsid w:val="00486CFB"/>
    <w:rsid w:val="00486D38"/>
    <w:rsid w:val="0048711D"/>
    <w:rsid w:val="00487765"/>
    <w:rsid w:val="004878C4"/>
    <w:rsid w:val="00487B70"/>
    <w:rsid w:val="00487CA6"/>
    <w:rsid w:val="00490166"/>
    <w:rsid w:val="004902E5"/>
    <w:rsid w:val="0049062D"/>
    <w:rsid w:val="00490B1F"/>
    <w:rsid w:val="004921F7"/>
    <w:rsid w:val="00492B40"/>
    <w:rsid w:val="00492B87"/>
    <w:rsid w:val="00492BFA"/>
    <w:rsid w:val="00492EA0"/>
    <w:rsid w:val="004939EB"/>
    <w:rsid w:val="004942F0"/>
    <w:rsid w:val="00494313"/>
    <w:rsid w:val="00495405"/>
    <w:rsid w:val="00495C29"/>
    <w:rsid w:val="00495DF7"/>
    <w:rsid w:val="00495E54"/>
    <w:rsid w:val="00496B83"/>
    <w:rsid w:val="004A05E4"/>
    <w:rsid w:val="004A12FE"/>
    <w:rsid w:val="004A1843"/>
    <w:rsid w:val="004A1849"/>
    <w:rsid w:val="004A1B12"/>
    <w:rsid w:val="004A1E7A"/>
    <w:rsid w:val="004A270B"/>
    <w:rsid w:val="004A3755"/>
    <w:rsid w:val="004A38B5"/>
    <w:rsid w:val="004A4134"/>
    <w:rsid w:val="004A4614"/>
    <w:rsid w:val="004A4D5E"/>
    <w:rsid w:val="004A4E58"/>
    <w:rsid w:val="004A5355"/>
    <w:rsid w:val="004A746E"/>
    <w:rsid w:val="004A78E5"/>
    <w:rsid w:val="004A7B61"/>
    <w:rsid w:val="004A7C61"/>
    <w:rsid w:val="004A7DD7"/>
    <w:rsid w:val="004A7EB0"/>
    <w:rsid w:val="004A7EF8"/>
    <w:rsid w:val="004B09BA"/>
    <w:rsid w:val="004B0B9F"/>
    <w:rsid w:val="004B0C54"/>
    <w:rsid w:val="004B0ECB"/>
    <w:rsid w:val="004B1376"/>
    <w:rsid w:val="004B16C2"/>
    <w:rsid w:val="004B20C9"/>
    <w:rsid w:val="004B2248"/>
    <w:rsid w:val="004B30D0"/>
    <w:rsid w:val="004B3E69"/>
    <w:rsid w:val="004B42FA"/>
    <w:rsid w:val="004B4446"/>
    <w:rsid w:val="004B4DFE"/>
    <w:rsid w:val="004B515D"/>
    <w:rsid w:val="004B5239"/>
    <w:rsid w:val="004B52D0"/>
    <w:rsid w:val="004B5687"/>
    <w:rsid w:val="004B69A9"/>
    <w:rsid w:val="004C0364"/>
    <w:rsid w:val="004C036F"/>
    <w:rsid w:val="004C09D0"/>
    <w:rsid w:val="004C1731"/>
    <w:rsid w:val="004C18BE"/>
    <w:rsid w:val="004C18E5"/>
    <w:rsid w:val="004C19AC"/>
    <w:rsid w:val="004C2892"/>
    <w:rsid w:val="004C29B9"/>
    <w:rsid w:val="004C34C8"/>
    <w:rsid w:val="004C34E9"/>
    <w:rsid w:val="004C3A1A"/>
    <w:rsid w:val="004C3AB0"/>
    <w:rsid w:val="004C3D53"/>
    <w:rsid w:val="004C43D2"/>
    <w:rsid w:val="004C44DD"/>
    <w:rsid w:val="004C46A1"/>
    <w:rsid w:val="004C4C15"/>
    <w:rsid w:val="004C53C4"/>
    <w:rsid w:val="004C54D2"/>
    <w:rsid w:val="004C7668"/>
    <w:rsid w:val="004D00BD"/>
    <w:rsid w:val="004D01DD"/>
    <w:rsid w:val="004D0E23"/>
    <w:rsid w:val="004D15D3"/>
    <w:rsid w:val="004D1710"/>
    <w:rsid w:val="004D1C71"/>
    <w:rsid w:val="004D20C0"/>
    <w:rsid w:val="004D236D"/>
    <w:rsid w:val="004D3C5C"/>
    <w:rsid w:val="004D4F1C"/>
    <w:rsid w:val="004D5003"/>
    <w:rsid w:val="004D53E5"/>
    <w:rsid w:val="004D5406"/>
    <w:rsid w:val="004D56AD"/>
    <w:rsid w:val="004D590E"/>
    <w:rsid w:val="004D5A48"/>
    <w:rsid w:val="004D5B11"/>
    <w:rsid w:val="004D6061"/>
    <w:rsid w:val="004D7EB0"/>
    <w:rsid w:val="004E13F6"/>
    <w:rsid w:val="004E1CC4"/>
    <w:rsid w:val="004E2255"/>
    <w:rsid w:val="004E2A9C"/>
    <w:rsid w:val="004E2C4C"/>
    <w:rsid w:val="004E2F45"/>
    <w:rsid w:val="004E3061"/>
    <w:rsid w:val="004E3697"/>
    <w:rsid w:val="004E4D57"/>
    <w:rsid w:val="004E57B8"/>
    <w:rsid w:val="004E5CE4"/>
    <w:rsid w:val="004E5CF1"/>
    <w:rsid w:val="004E62B9"/>
    <w:rsid w:val="004E68F5"/>
    <w:rsid w:val="004E7613"/>
    <w:rsid w:val="004F1891"/>
    <w:rsid w:val="004F1A38"/>
    <w:rsid w:val="004F1F39"/>
    <w:rsid w:val="004F2D4E"/>
    <w:rsid w:val="004F2DDB"/>
    <w:rsid w:val="004F3609"/>
    <w:rsid w:val="004F3631"/>
    <w:rsid w:val="004F5229"/>
    <w:rsid w:val="004F5DF5"/>
    <w:rsid w:val="004F7347"/>
    <w:rsid w:val="004F786C"/>
    <w:rsid w:val="005013DA"/>
    <w:rsid w:val="005014F5"/>
    <w:rsid w:val="00502B3A"/>
    <w:rsid w:val="00502B7A"/>
    <w:rsid w:val="00503C59"/>
    <w:rsid w:val="00503DE9"/>
    <w:rsid w:val="0050478C"/>
    <w:rsid w:val="005047EE"/>
    <w:rsid w:val="00504AC4"/>
    <w:rsid w:val="00505935"/>
    <w:rsid w:val="00505D4A"/>
    <w:rsid w:val="005072D4"/>
    <w:rsid w:val="005074F2"/>
    <w:rsid w:val="005100ED"/>
    <w:rsid w:val="005108F3"/>
    <w:rsid w:val="00510B04"/>
    <w:rsid w:val="00510DA2"/>
    <w:rsid w:val="00512E99"/>
    <w:rsid w:val="0051386C"/>
    <w:rsid w:val="00513AD7"/>
    <w:rsid w:val="00513B70"/>
    <w:rsid w:val="00513CDE"/>
    <w:rsid w:val="00513D0D"/>
    <w:rsid w:val="0051405A"/>
    <w:rsid w:val="00514610"/>
    <w:rsid w:val="00515261"/>
    <w:rsid w:val="00515765"/>
    <w:rsid w:val="00516392"/>
    <w:rsid w:val="00516544"/>
    <w:rsid w:val="00517203"/>
    <w:rsid w:val="005172DA"/>
    <w:rsid w:val="0051735E"/>
    <w:rsid w:val="0051796D"/>
    <w:rsid w:val="005209D5"/>
    <w:rsid w:val="00520C2D"/>
    <w:rsid w:val="005210FC"/>
    <w:rsid w:val="0052212C"/>
    <w:rsid w:val="00522E9D"/>
    <w:rsid w:val="0052342F"/>
    <w:rsid w:val="005236AD"/>
    <w:rsid w:val="0052412F"/>
    <w:rsid w:val="00524B71"/>
    <w:rsid w:val="00525265"/>
    <w:rsid w:val="0052548D"/>
    <w:rsid w:val="00526770"/>
    <w:rsid w:val="005270E2"/>
    <w:rsid w:val="00527313"/>
    <w:rsid w:val="00527AC6"/>
    <w:rsid w:val="00530144"/>
    <w:rsid w:val="00530710"/>
    <w:rsid w:val="0053084B"/>
    <w:rsid w:val="00530ADE"/>
    <w:rsid w:val="00530AEE"/>
    <w:rsid w:val="00530F41"/>
    <w:rsid w:val="00530F8B"/>
    <w:rsid w:val="00531069"/>
    <w:rsid w:val="0053149D"/>
    <w:rsid w:val="00531590"/>
    <w:rsid w:val="005321E0"/>
    <w:rsid w:val="00532546"/>
    <w:rsid w:val="00533171"/>
    <w:rsid w:val="005338AF"/>
    <w:rsid w:val="00534084"/>
    <w:rsid w:val="005343D7"/>
    <w:rsid w:val="00534AB4"/>
    <w:rsid w:val="0053577E"/>
    <w:rsid w:val="005361B9"/>
    <w:rsid w:val="0053649E"/>
    <w:rsid w:val="0053671B"/>
    <w:rsid w:val="005375AC"/>
    <w:rsid w:val="00537AEF"/>
    <w:rsid w:val="00537D3B"/>
    <w:rsid w:val="00537E95"/>
    <w:rsid w:val="00540277"/>
    <w:rsid w:val="005410E9"/>
    <w:rsid w:val="0054110D"/>
    <w:rsid w:val="005419FD"/>
    <w:rsid w:val="00541CD3"/>
    <w:rsid w:val="00542077"/>
    <w:rsid w:val="00542181"/>
    <w:rsid w:val="00542745"/>
    <w:rsid w:val="0054329D"/>
    <w:rsid w:val="0054368B"/>
    <w:rsid w:val="005441A1"/>
    <w:rsid w:val="00544266"/>
    <w:rsid w:val="00544291"/>
    <w:rsid w:val="00544E59"/>
    <w:rsid w:val="00544F48"/>
    <w:rsid w:val="00545FD7"/>
    <w:rsid w:val="00547306"/>
    <w:rsid w:val="005473A2"/>
    <w:rsid w:val="0054782D"/>
    <w:rsid w:val="005479D0"/>
    <w:rsid w:val="005512ED"/>
    <w:rsid w:val="00551C19"/>
    <w:rsid w:val="00551E19"/>
    <w:rsid w:val="00552C7E"/>
    <w:rsid w:val="00553AFF"/>
    <w:rsid w:val="00553CB4"/>
    <w:rsid w:val="005544EA"/>
    <w:rsid w:val="00554A1D"/>
    <w:rsid w:val="0055504C"/>
    <w:rsid w:val="0055579B"/>
    <w:rsid w:val="00555BC9"/>
    <w:rsid w:val="005566F1"/>
    <w:rsid w:val="00556BCB"/>
    <w:rsid w:val="00556D4C"/>
    <w:rsid w:val="00557BF6"/>
    <w:rsid w:val="00557D52"/>
    <w:rsid w:val="00560434"/>
    <w:rsid w:val="00561E3C"/>
    <w:rsid w:val="00561E94"/>
    <w:rsid w:val="00561FEA"/>
    <w:rsid w:val="0056216F"/>
    <w:rsid w:val="00562965"/>
    <w:rsid w:val="00562DCE"/>
    <w:rsid w:val="00562E99"/>
    <w:rsid w:val="00563003"/>
    <w:rsid w:val="00563781"/>
    <w:rsid w:val="00563EFB"/>
    <w:rsid w:val="005642E4"/>
    <w:rsid w:val="00564662"/>
    <w:rsid w:val="00564AB1"/>
    <w:rsid w:val="00564C11"/>
    <w:rsid w:val="005659BE"/>
    <w:rsid w:val="00565AB0"/>
    <w:rsid w:val="0056681D"/>
    <w:rsid w:val="00566838"/>
    <w:rsid w:val="0056698A"/>
    <w:rsid w:val="00566B50"/>
    <w:rsid w:val="00570A2D"/>
    <w:rsid w:val="00571EB9"/>
    <w:rsid w:val="00571EFE"/>
    <w:rsid w:val="00572B62"/>
    <w:rsid w:val="005732CA"/>
    <w:rsid w:val="005735C4"/>
    <w:rsid w:val="00574428"/>
    <w:rsid w:val="00574475"/>
    <w:rsid w:val="00574D9D"/>
    <w:rsid w:val="0057508A"/>
    <w:rsid w:val="005753D1"/>
    <w:rsid w:val="00576F90"/>
    <w:rsid w:val="00577625"/>
    <w:rsid w:val="005802D7"/>
    <w:rsid w:val="005803CD"/>
    <w:rsid w:val="00580410"/>
    <w:rsid w:val="00580543"/>
    <w:rsid w:val="00580C78"/>
    <w:rsid w:val="00582244"/>
    <w:rsid w:val="00582463"/>
    <w:rsid w:val="00582AA4"/>
    <w:rsid w:val="005834F7"/>
    <w:rsid w:val="005835C4"/>
    <w:rsid w:val="005835FB"/>
    <w:rsid w:val="00583933"/>
    <w:rsid w:val="00584262"/>
    <w:rsid w:val="00584E43"/>
    <w:rsid w:val="00585A91"/>
    <w:rsid w:val="00585AD0"/>
    <w:rsid w:val="00586E86"/>
    <w:rsid w:val="0058701A"/>
    <w:rsid w:val="00587558"/>
    <w:rsid w:val="00587A13"/>
    <w:rsid w:val="00590FAB"/>
    <w:rsid w:val="00591D81"/>
    <w:rsid w:val="00591D96"/>
    <w:rsid w:val="00593123"/>
    <w:rsid w:val="00593268"/>
    <w:rsid w:val="00593C18"/>
    <w:rsid w:val="00593EA3"/>
    <w:rsid w:val="00594563"/>
    <w:rsid w:val="00594EAD"/>
    <w:rsid w:val="00595183"/>
    <w:rsid w:val="00595F23"/>
    <w:rsid w:val="00596100"/>
    <w:rsid w:val="005961B4"/>
    <w:rsid w:val="005967CE"/>
    <w:rsid w:val="00596BE2"/>
    <w:rsid w:val="00597980"/>
    <w:rsid w:val="005A0596"/>
    <w:rsid w:val="005A0A3E"/>
    <w:rsid w:val="005A0C3C"/>
    <w:rsid w:val="005A1462"/>
    <w:rsid w:val="005A2136"/>
    <w:rsid w:val="005A21FD"/>
    <w:rsid w:val="005A2338"/>
    <w:rsid w:val="005A23ED"/>
    <w:rsid w:val="005A3609"/>
    <w:rsid w:val="005A389D"/>
    <w:rsid w:val="005A3992"/>
    <w:rsid w:val="005A5E47"/>
    <w:rsid w:val="005A6221"/>
    <w:rsid w:val="005A6CE8"/>
    <w:rsid w:val="005A6E04"/>
    <w:rsid w:val="005A6FEC"/>
    <w:rsid w:val="005A7619"/>
    <w:rsid w:val="005A77A1"/>
    <w:rsid w:val="005A77A4"/>
    <w:rsid w:val="005B0CA9"/>
    <w:rsid w:val="005B1D52"/>
    <w:rsid w:val="005B22CE"/>
    <w:rsid w:val="005B239A"/>
    <w:rsid w:val="005B29F1"/>
    <w:rsid w:val="005B2ED6"/>
    <w:rsid w:val="005B3802"/>
    <w:rsid w:val="005B3B8B"/>
    <w:rsid w:val="005B3BA6"/>
    <w:rsid w:val="005B3DAD"/>
    <w:rsid w:val="005B4282"/>
    <w:rsid w:val="005B4D8F"/>
    <w:rsid w:val="005B5550"/>
    <w:rsid w:val="005B57B7"/>
    <w:rsid w:val="005B586D"/>
    <w:rsid w:val="005B6531"/>
    <w:rsid w:val="005B6D70"/>
    <w:rsid w:val="005B6FF5"/>
    <w:rsid w:val="005B727A"/>
    <w:rsid w:val="005C01E5"/>
    <w:rsid w:val="005C0CFD"/>
    <w:rsid w:val="005C1BA1"/>
    <w:rsid w:val="005C1D4E"/>
    <w:rsid w:val="005C20C8"/>
    <w:rsid w:val="005C23A6"/>
    <w:rsid w:val="005C24C9"/>
    <w:rsid w:val="005C258F"/>
    <w:rsid w:val="005C3006"/>
    <w:rsid w:val="005C3A15"/>
    <w:rsid w:val="005C3C99"/>
    <w:rsid w:val="005C444F"/>
    <w:rsid w:val="005C6A76"/>
    <w:rsid w:val="005C774D"/>
    <w:rsid w:val="005C78C1"/>
    <w:rsid w:val="005C7B04"/>
    <w:rsid w:val="005D092B"/>
    <w:rsid w:val="005D0F33"/>
    <w:rsid w:val="005D1D95"/>
    <w:rsid w:val="005D20FB"/>
    <w:rsid w:val="005D2C4C"/>
    <w:rsid w:val="005D3303"/>
    <w:rsid w:val="005D41AE"/>
    <w:rsid w:val="005D426A"/>
    <w:rsid w:val="005D4399"/>
    <w:rsid w:val="005D4D62"/>
    <w:rsid w:val="005D5A7A"/>
    <w:rsid w:val="005D6204"/>
    <w:rsid w:val="005D79EE"/>
    <w:rsid w:val="005E0522"/>
    <w:rsid w:val="005E087C"/>
    <w:rsid w:val="005E17D1"/>
    <w:rsid w:val="005E1D0B"/>
    <w:rsid w:val="005E2121"/>
    <w:rsid w:val="005E26C9"/>
    <w:rsid w:val="005E29E6"/>
    <w:rsid w:val="005E2F10"/>
    <w:rsid w:val="005E3052"/>
    <w:rsid w:val="005E3B1C"/>
    <w:rsid w:val="005E401A"/>
    <w:rsid w:val="005E44A9"/>
    <w:rsid w:val="005E44DA"/>
    <w:rsid w:val="005E6885"/>
    <w:rsid w:val="005E6F94"/>
    <w:rsid w:val="005E76EC"/>
    <w:rsid w:val="005E7E46"/>
    <w:rsid w:val="005F057E"/>
    <w:rsid w:val="005F0D03"/>
    <w:rsid w:val="005F1158"/>
    <w:rsid w:val="005F116F"/>
    <w:rsid w:val="005F117D"/>
    <w:rsid w:val="005F2960"/>
    <w:rsid w:val="005F347D"/>
    <w:rsid w:val="005F395A"/>
    <w:rsid w:val="005F43C7"/>
    <w:rsid w:val="005F479A"/>
    <w:rsid w:val="005F4832"/>
    <w:rsid w:val="005F4A93"/>
    <w:rsid w:val="005F4BFD"/>
    <w:rsid w:val="005F5479"/>
    <w:rsid w:val="005F54E0"/>
    <w:rsid w:val="005F55DD"/>
    <w:rsid w:val="005F58BE"/>
    <w:rsid w:val="005F6341"/>
    <w:rsid w:val="005F7646"/>
    <w:rsid w:val="00600772"/>
    <w:rsid w:val="00600EBA"/>
    <w:rsid w:val="00602ED5"/>
    <w:rsid w:val="006035A6"/>
    <w:rsid w:val="006036B6"/>
    <w:rsid w:val="00603794"/>
    <w:rsid w:val="00603EA5"/>
    <w:rsid w:val="006041DE"/>
    <w:rsid w:val="00605447"/>
    <w:rsid w:val="00605F92"/>
    <w:rsid w:val="0060614F"/>
    <w:rsid w:val="0060653E"/>
    <w:rsid w:val="006071A6"/>
    <w:rsid w:val="00607BE0"/>
    <w:rsid w:val="0061152F"/>
    <w:rsid w:val="00612A95"/>
    <w:rsid w:val="006132E7"/>
    <w:rsid w:val="00613339"/>
    <w:rsid w:val="00613996"/>
    <w:rsid w:val="00614A14"/>
    <w:rsid w:val="0061552B"/>
    <w:rsid w:val="0061564A"/>
    <w:rsid w:val="00615806"/>
    <w:rsid w:val="00615AA0"/>
    <w:rsid w:val="006161DC"/>
    <w:rsid w:val="006172B2"/>
    <w:rsid w:val="0061784F"/>
    <w:rsid w:val="006178F3"/>
    <w:rsid w:val="00620660"/>
    <w:rsid w:val="0062114C"/>
    <w:rsid w:val="0062120F"/>
    <w:rsid w:val="00622AC1"/>
    <w:rsid w:val="006230E1"/>
    <w:rsid w:val="006240E2"/>
    <w:rsid w:val="00624233"/>
    <w:rsid w:val="00625DF4"/>
    <w:rsid w:val="006262F0"/>
    <w:rsid w:val="006266A3"/>
    <w:rsid w:val="00626B9A"/>
    <w:rsid w:val="00626C7E"/>
    <w:rsid w:val="0063013B"/>
    <w:rsid w:val="006303BD"/>
    <w:rsid w:val="00630669"/>
    <w:rsid w:val="006310F4"/>
    <w:rsid w:val="006324E5"/>
    <w:rsid w:val="00632755"/>
    <w:rsid w:val="00632A31"/>
    <w:rsid w:val="0063327D"/>
    <w:rsid w:val="00633472"/>
    <w:rsid w:val="006338A1"/>
    <w:rsid w:val="00633ECA"/>
    <w:rsid w:val="006347E4"/>
    <w:rsid w:val="006348DF"/>
    <w:rsid w:val="00634DDB"/>
    <w:rsid w:val="00635727"/>
    <w:rsid w:val="0063698C"/>
    <w:rsid w:val="00636B15"/>
    <w:rsid w:val="00637456"/>
    <w:rsid w:val="00641565"/>
    <w:rsid w:val="00641B9C"/>
    <w:rsid w:val="00641C75"/>
    <w:rsid w:val="00641D8F"/>
    <w:rsid w:val="00641E2D"/>
    <w:rsid w:val="00642484"/>
    <w:rsid w:val="00642507"/>
    <w:rsid w:val="00642ADC"/>
    <w:rsid w:val="00643109"/>
    <w:rsid w:val="00643657"/>
    <w:rsid w:val="006436C7"/>
    <w:rsid w:val="00643C66"/>
    <w:rsid w:val="00643EF8"/>
    <w:rsid w:val="00644060"/>
    <w:rsid w:val="0064456D"/>
    <w:rsid w:val="00644BB7"/>
    <w:rsid w:val="00644CD8"/>
    <w:rsid w:val="00644F8E"/>
    <w:rsid w:val="00645266"/>
    <w:rsid w:val="006454F7"/>
    <w:rsid w:val="00645546"/>
    <w:rsid w:val="00645AB8"/>
    <w:rsid w:val="0064624A"/>
    <w:rsid w:val="00646393"/>
    <w:rsid w:val="00646E8B"/>
    <w:rsid w:val="00646FB9"/>
    <w:rsid w:val="00647288"/>
    <w:rsid w:val="00647489"/>
    <w:rsid w:val="00647787"/>
    <w:rsid w:val="00647CD4"/>
    <w:rsid w:val="00650153"/>
    <w:rsid w:val="0065023A"/>
    <w:rsid w:val="00650318"/>
    <w:rsid w:val="00650694"/>
    <w:rsid w:val="006506FE"/>
    <w:rsid w:val="00651240"/>
    <w:rsid w:val="006512FE"/>
    <w:rsid w:val="006529D8"/>
    <w:rsid w:val="00652DFE"/>
    <w:rsid w:val="00652E94"/>
    <w:rsid w:val="00653314"/>
    <w:rsid w:val="006533E0"/>
    <w:rsid w:val="00653F69"/>
    <w:rsid w:val="0065403C"/>
    <w:rsid w:val="00654108"/>
    <w:rsid w:val="006541B7"/>
    <w:rsid w:val="006542A3"/>
    <w:rsid w:val="00654AEE"/>
    <w:rsid w:val="00654F72"/>
    <w:rsid w:val="006552E0"/>
    <w:rsid w:val="006555D1"/>
    <w:rsid w:val="00655A0B"/>
    <w:rsid w:val="00655C12"/>
    <w:rsid w:val="00655C20"/>
    <w:rsid w:val="00655C48"/>
    <w:rsid w:val="00655CA3"/>
    <w:rsid w:val="006568F3"/>
    <w:rsid w:val="00656A7E"/>
    <w:rsid w:val="00656DC0"/>
    <w:rsid w:val="00657574"/>
    <w:rsid w:val="00657F03"/>
    <w:rsid w:val="00660503"/>
    <w:rsid w:val="006606D7"/>
    <w:rsid w:val="00660AB9"/>
    <w:rsid w:val="0066152C"/>
    <w:rsid w:val="00662334"/>
    <w:rsid w:val="006630EB"/>
    <w:rsid w:val="006640E4"/>
    <w:rsid w:val="00664F6A"/>
    <w:rsid w:val="00665BEB"/>
    <w:rsid w:val="00666D1B"/>
    <w:rsid w:val="00667083"/>
    <w:rsid w:val="006679FF"/>
    <w:rsid w:val="00667A76"/>
    <w:rsid w:val="00670779"/>
    <w:rsid w:val="00670C65"/>
    <w:rsid w:val="00670DD1"/>
    <w:rsid w:val="0067114A"/>
    <w:rsid w:val="00671593"/>
    <w:rsid w:val="0067170F"/>
    <w:rsid w:val="00672480"/>
    <w:rsid w:val="00672498"/>
    <w:rsid w:val="00672DAE"/>
    <w:rsid w:val="00673C70"/>
    <w:rsid w:val="00673F28"/>
    <w:rsid w:val="006745D4"/>
    <w:rsid w:val="00674A06"/>
    <w:rsid w:val="00674F1B"/>
    <w:rsid w:val="00674F38"/>
    <w:rsid w:val="0067506D"/>
    <w:rsid w:val="0067509E"/>
    <w:rsid w:val="0067521A"/>
    <w:rsid w:val="00675C8E"/>
    <w:rsid w:val="00675E12"/>
    <w:rsid w:val="00676B70"/>
    <w:rsid w:val="00680447"/>
    <w:rsid w:val="006815E9"/>
    <w:rsid w:val="006828A6"/>
    <w:rsid w:val="00682902"/>
    <w:rsid w:val="00682D89"/>
    <w:rsid w:val="00683671"/>
    <w:rsid w:val="00683D26"/>
    <w:rsid w:val="00683F25"/>
    <w:rsid w:val="00684F31"/>
    <w:rsid w:val="0068529C"/>
    <w:rsid w:val="0068554B"/>
    <w:rsid w:val="0068637A"/>
    <w:rsid w:val="00686EDA"/>
    <w:rsid w:val="0068714F"/>
    <w:rsid w:val="00690007"/>
    <w:rsid w:val="006912F4"/>
    <w:rsid w:val="006914BC"/>
    <w:rsid w:val="0069158C"/>
    <w:rsid w:val="00691906"/>
    <w:rsid w:val="006919FC"/>
    <w:rsid w:val="00693036"/>
    <w:rsid w:val="006931B1"/>
    <w:rsid w:val="00693775"/>
    <w:rsid w:val="00693890"/>
    <w:rsid w:val="00693995"/>
    <w:rsid w:val="00694535"/>
    <w:rsid w:val="0069486A"/>
    <w:rsid w:val="00695013"/>
    <w:rsid w:val="00695D59"/>
    <w:rsid w:val="006964E5"/>
    <w:rsid w:val="00696807"/>
    <w:rsid w:val="006969A8"/>
    <w:rsid w:val="00696E4E"/>
    <w:rsid w:val="00696E62"/>
    <w:rsid w:val="006975C0"/>
    <w:rsid w:val="00697A97"/>
    <w:rsid w:val="00697AE3"/>
    <w:rsid w:val="00697BD9"/>
    <w:rsid w:val="00697EC7"/>
    <w:rsid w:val="00697F97"/>
    <w:rsid w:val="00697FD8"/>
    <w:rsid w:val="006A07C4"/>
    <w:rsid w:val="006A1B5D"/>
    <w:rsid w:val="006A230C"/>
    <w:rsid w:val="006A2A9E"/>
    <w:rsid w:val="006A2C00"/>
    <w:rsid w:val="006A336A"/>
    <w:rsid w:val="006A359E"/>
    <w:rsid w:val="006A37E3"/>
    <w:rsid w:val="006A4431"/>
    <w:rsid w:val="006A4451"/>
    <w:rsid w:val="006A4BB4"/>
    <w:rsid w:val="006A4DFC"/>
    <w:rsid w:val="006A5170"/>
    <w:rsid w:val="006A585C"/>
    <w:rsid w:val="006A58B0"/>
    <w:rsid w:val="006A6730"/>
    <w:rsid w:val="006A784F"/>
    <w:rsid w:val="006A7D60"/>
    <w:rsid w:val="006B0953"/>
    <w:rsid w:val="006B0ADA"/>
    <w:rsid w:val="006B0DFF"/>
    <w:rsid w:val="006B1216"/>
    <w:rsid w:val="006B163C"/>
    <w:rsid w:val="006B19E6"/>
    <w:rsid w:val="006B1F3F"/>
    <w:rsid w:val="006B2260"/>
    <w:rsid w:val="006B2A03"/>
    <w:rsid w:val="006B2FC7"/>
    <w:rsid w:val="006B3151"/>
    <w:rsid w:val="006B34F9"/>
    <w:rsid w:val="006B390E"/>
    <w:rsid w:val="006B3F63"/>
    <w:rsid w:val="006B4931"/>
    <w:rsid w:val="006B4F4A"/>
    <w:rsid w:val="006B5C25"/>
    <w:rsid w:val="006B5F54"/>
    <w:rsid w:val="006B5FE3"/>
    <w:rsid w:val="006B674A"/>
    <w:rsid w:val="006B6F98"/>
    <w:rsid w:val="006B7178"/>
    <w:rsid w:val="006B7755"/>
    <w:rsid w:val="006B78A3"/>
    <w:rsid w:val="006B7BFA"/>
    <w:rsid w:val="006C0780"/>
    <w:rsid w:val="006C0E13"/>
    <w:rsid w:val="006C125A"/>
    <w:rsid w:val="006C17D5"/>
    <w:rsid w:val="006C1FDF"/>
    <w:rsid w:val="006C2172"/>
    <w:rsid w:val="006C24D3"/>
    <w:rsid w:val="006C2C26"/>
    <w:rsid w:val="006C3056"/>
    <w:rsid w:val="006C308E"/>
    <w:rsid w:val="006C3690"/>
    <w:rsid w:val="006C3A0A"/>
    <w:rsid w:val="006C46D5"/>
    <w:rsid w:val="006C49BD"/>
    <w:rsid w:val="006C577F"/>
    <w:rsid w:val="006C5BE3"/>
    <w:rsid w:val="006C6B68"/>
    <w:rsid w:val="006C78A9"/>
    <w:rsid w:val="006C7F5C"/>
    <w:rsid w:val="006C7FBA"/>
    <w:rsid w:val="006C7FD5"/>
    <w:rsid w:val="006D0D4F"/>
    <w:rsid w:val="006D1397"/>
    <w:rsid w:val="006D17C1"/>
    <w:rsid w:val="006D189D"/>
    <w:rsid w:val="006D2C5F"/>
    <w:rsid w:val="006D31FC"/>
    <w:rsid w:val="006D3EF2"/>
    <w:rsid w:val="006D3FE9"/>
    <w:rsid w:val="006D406E"/>
    <w:rsid w:val="006D4703"/>
    <w:rsid w:val="006D4CAF"/>
    <w:rsid w:val="006D5727"/>
    <w:rsid w:val="006D5866"/>
    <w:rsid w:val="006D5B08"/>
    <w:rsid w:val="006D609F"/>
    <w:rsid w:val="006D6F91"/>
    <w:rsid w:val="006D7C20"/>
    <w:rsid w:val="006D7FBA"/>
    <w:rsid w:val="006E0116"/>
    <w:rsid w:val="006E0264"/>
    <w:rsid w:val="006E042B"/>
    <w:rsid w:val="006E06A5"/>
    <w:rsid w:val="006E212F"/>
    <w:rsid w:val="006E2231"/>
    <w:rsid w:val="006E347E"/>
    <w:rsid w:val="006E34A3"/>
    <w:rsid w:val="006E54D8"/>
    <w:rsid w:val="006E61C8"/>
    <w:rsid w:val="006E7F7A"/>
    <w:rsid w:val="006F15D5"/>
    <w:rsid w:val="006F17DA"/>
    <w:rsid w:val="006F1CAC"/>
    <w:rsid w:val="006F1EBE"/>
    <w:rsid w:val="006F23C2"/>
    <w:rsid w:val="006F27A0"/>
    <w:rsid w:val="006F28F6"/>
    <w:rsid w:val="006F35E5"/>
    <w:rsid w:val="006F39A5"/>
    <w:rsid w:val="006F4C6D"/>
    <w:rsid w:val="006F5459"/>
    <w:rsid w:val="006F577D"/>
    <w:rsid w:val="006F5BE1"/>
    <w:rsid w:val="006F6D5C"/>
    <w:rsid w:val="006F762E"/>
    <w:rsid w:val="00701E6F"/>
    <w:rsid w:val="00702733"/>
    <w:rsid w:val="00703279"/>
    <w:rsid w:val="0070353C"/>
    <w:rsid w:val="00704B0D"/>
    <w:rsid w:val="00705157"/>
    <w:rsid w:val="00705865"/>
    <w:rsid w:val="00705DC4"/>
    <w:rsid w:val="00705DE0"/>
    <w:rsid w:val="00705EE5"/>
    <w:rsid w:val="0070634A"/>
    <w:rsid w:val="00706A17"/>
    <w:rsid w:val="00706A76"/>
    <w:rsid w:val="0070737F"/>
    <w:rsid w:val="00710007"/>
    <w:rsid w:val="0071085F"/>
    <w:rsid w:val="0071093B"/>
    <w:rsid w:val="00710A11"/>
    <w:rsid w:val="00710E25"/>
    <w:rsid w:val="00713C3D"/>
    <w:rsid w:val="00714EE8"/>
    <w:rsid w:val="00715520"/>
    <w:rsid w:val="00715685"/>
    <w:rsid w:val="0071588F"/>
    <w:rsid w:val="007163F0"/>
    <w:rsid w:val="00716422"/>
    <w:rsid w:val="00716493"/>
    <w:rsid w:val="00716612"/>
    <w:rsid w:val="00716FBF"/>
    <w:rsid w:val="00717673"/>
    <w:rsid w:val="00717F1D"/>
    <w:rsid w:val="007203C1"/>
    <w:rsid w:val="00720A7D"/>
    <w:rsid w:val="00722DB0"/>
    <w:rsid w:val="00722EB0"/>
    <w:rsid w:val="007230D6"/>
    <w:rsid w:val="0072310E"/>
    <w:rsid w:val="00723749"/>
    <w:rsid w:val="007238BB"/>
    <w:rsid w:val="007245B2"/>
    <w:rsid w:val="0072462D"/>
    <w:rsid w:val="00724751"/>
    <w:rsid w:val="00724EAA"/>
    <w:rsid w:val="00727529"/>
    <w:rsid w:val="00727F51"/>
    <w:rsid w:val="007302FD"/>
    <w:rsid w:val="0073036A"/>
    <w:rsid w:val="007307C5"/>
    <w:rsid w:val="00730A3C"/>
    <w:rsid w:val="00730B5C"/>
    <w:rsid w:val="00730CEC"/>
    <w:rsid w:val="00731C36"/>
    <w:rsid w:val="007329DF"/>
    <w:rsid w:val="00732CF1"/>
    <w:rsid w:val="00732FDE"/>
    <w:rsid w:val="00733189"/>
    <w:rsid w:val="007336D3"/>
    <w:rsid w:val="00733B89"/>
    <w:rsid w:val="00733C18"/>
    <w:rsid w:val="00734091"/>
    <w:rsid w:val="0073481A"/>
    <w:rsid w:val="0073495B"/>
    <w:rsid w:val="00734A51"/>
    <w:rsid w:val="00734ADF"/>
    <w:rsid w:val="007353EE"/>
    <w:rsid w:val="0073550B"/>
    <w:rsid w:val="00735B6D"/>
    <w:rsid w:val="00737020"/>
    <w:rsid w:val="00737175"/>
    <w:rsid w:val="00737369"/>
    <w:rsid w:val="00737CBC"/>
    <w:rsid w:val="00737FEC"/>
    <w:rsid w:val="007403ED"/>
    <w:rsid w:val="007407E6"/>
    <w:rsid w:val="0074095D"/>
    <w:rsid w:val="00740967"/>
    <w:rsid w:val="00740B9E"/>
    <w:rsid w:val="00741E5A"/>
    <w:rsid w:val="007420B0"/>
    <w:rsid w:val="0074254C"/>
    <w:rsid w:val="007425DA"/>
    <w:rsid w:val="00742DDA"/>
    <w:rsid w:val="00742E9B"/>
    <w:rsid w:val="00743CE6"/>
    <w:rsid w:val="00743EEE"/>
    <w:rsid w:val="00744746"/>
    <w:rsid w:val="00744A11"/>
    <w:rsid w:val="00744D2E"/>
    <w:rsid w:val="00744DAD"/>
    <w:rsid w:val="00745320"/>
    <w:rsid w:val="007458E8"/>
    <w:rsid w:val="007458EC"/>
    <w:rsid w:val="00745D05"/>
    <w:rsid w:val="00745D3B"/>
    <w:rsid w:val="007463B0"/>
    <w:rsid w:val="007466D7"/>
    <w:rsid w:val="00751351"/>
    <w:rsid w:val="00751907"/>
    <w:rsid w:val="00751E6B"/>
    <w:rsid w:val="00752384"/>
    <w:rsid w:val="007526B1"/>
    <w:rsid w:val="00752FE8"/>
    <w:rsid w:val="00753009"/>
    <w:rsid w:val="00753014"/>
    <w:rsid w:val="00753087"/>
    <w:rsid w:val="00753150"/>
    <w:rsid w:val="0075368F"/>
    <w:rsid w:val="00753B21"/>
    <w:rsid w:val="00754CE1"/>
    <w:rsid w:val="0075512B"/>
    <w:rsid w:val="00755570"/>
    <w:rsid w:val="00755D79"/>
    <w:rsid w:val="00755F4B"/>
    <w:rsid w:val="00755F5B"/>
    <w:rsid w:val="007560C8"/>
    <w:rsid w:val="007560F4"/>
    <w:rsid w:val="0075667F"/>
    <w:rsid w:val="00757044"/>
    <w:rsid w:val="00757513"/>
    <w:rsid w:val="00760741"/>
    <w:rsid w:val="00760A6B"/>
    <w:rsid w:val="00760D61"/>
    <w:rsid w:val="0076168B"/>
    <w:rsid w:val="00761F51"/>
    <w:rsid w:val="007622AB"/>
    <w:rsid w:val="00762C5C"/>
    <w:rsid w:val="00762DE6"/>
    <w:rsid w:val="00762E59"/>
    <w:rsid w:val="007630B4"/>
    <w:rsid w:val="00763471"/>
    <w:rsid w:val="00763E82"/>
    <w:rsid w:val="00764A01"/>
    <w:rsid w:val="00764EA4"/>
    <w:rsid w:val="007658C6"/>
    <w:rsid w:val="00765B45"/>
    <w:rsid w:val="00766017"/>
    <w:rsid w:val="00766F6C"/>
    <w:rsid w:val="0076742D"/>
    <w:rsid w:val="00767FDE"/>
    <w:rsid w:val="0077029F"/>
    <w:rsid w:val="00770796"/>
    <w:rsid w:val="00770831"/>
    <w:rsid w:val="00770E86"/>
    <w:rsid w:val="00771152"/>
    <w:rsid w:val="00771595"/>
    <w:rsid w:val="0077280B"/>
    <w:rsid w:val="00773D31"/>
    <w:rsid w:val="00773FBF"/>
    <w:rsid w:val="007742CA"/>
    <w:rsid w:val="00774420"/>
    <w:rsid w:val="007744C4"/>
    <w:rsid w:val="007745EA"/>
    <w:rsid w:val="007745FD"/>
    <w:rsid w:val="0077462E"/>
    <w:rsid w:val="007746A6"/>
    <w:rsid w:val="0077491B"/>
    <w:rsid w:val="00774998"/>
    <w:rsid w:val="00774A05"/>
    <w:rsid w:val="0077548F"/>
    <w:rsid w:val="00775DD7"/>
    <w:rsid w:val="00775FC2"/>
    <w:rsid w:val="00776B38"/>
    <w:rsid w:val="0077759F"/>
    <w:rsid w:val="00777625"/>
    <w:rsid w:val="00777914"/>
    <w:rsid w:val="00777DD7"/>
    <w:rsid w:val="007801DD"/>
    <w:rsid w:val="007802C6"/>
    <w:rsid w:val="00781D62"/>
    <w:rsid w:val="00782196"/>
    <w:rsid w:val="00782609"/>
    <w:rsid w:val="00782B9A"/>
    <w:rsid w:val="0078349A"/>
    <w:rsid w:val="0078372D"/>
    <w:rsid w:val="00783B49"/>
    <w:rsid w:val="00783FA5"/>
    <w:rsid w:val="00784217"/>
    <w:rsid w:val="0078474C"/>
    <w:rsid w:val="00785796"/>
    <w:rsid w:val="00785C8F"/>
    <w:rsid w:val="00786528"/>
    <w:rsid w:val="007868DE"/>
    <w:rsid w:val="00787A34"/>
    <w:rsid w:val="00790350"/>
    <w:rsid w:val="0079044D"/>
    <w:rsid w:val="00790B6B"/>
    <w:rsid w:val="00790EFA"/>
    <w:rsid w:val="00790F1E"/>
    <w:rsid w:val="00790FD3"/>
    <w:rsid w:val="00791285"/>
    <w:rsid w:val="00791E20"/>
    <w:rsid w:val="007924C7"/>
    <w:rsid w:val="00793993"/>
    <w:rsid w:val="00794F21"/>
    <w:rsid w:val="00795309"/>
    <w:rsid w:val="0079568F"/>
    <w:rsid w:val="00796021"/>
    <w:rsid w:val="00796272"/>
    <w:rsid w:val="00796587"/>
    <w:rsid w:val="0079745C"/>
    <w:rsid w:val="00797C54"/>
    <w:rsid w:val="00797DE7"/>
    <w:rsid w:val="007A070A"/>
    <w:rsid w:val="007A07D5"/>
    <w:rsid w:val="007A1090"/>
    <w:rsid w:val="007A1CDD"/>
    <w:rsid w:val="007A1D5D"/>
    <w:rsid w:val="007A25D2"/>
    <w:rsid w:val="007A302F"/>
    <w:rsid w:val="007A3A4C"/>
    <w:rsid w:val="007A3FA3"/>
    <w:rsid w:val="007A4AC9"/>
    <w:rsid w:val="007A4AF1"/>
    <w:rsid w:val="007A5832"/>
    <w:rsid w:val="007A5AFE"/>
    <w:rsid w:val="007A5E7D"/>
    <w:rsid w:val="007A6A2D"/>
    <w:rsid w:val="007A728F"/>
    <w:rsid w:val="007A7919"/>
    <w:rsid w:val="007A7B62"/>
    <w:rsid w:val="007B0094"/>
    <w:rsid w:val="007B0528"/>
    <w:rsid w:val="007B1A79"/>
    <w:rsid w:val="007B1C10"/>
    <w:rsid w:val="007B220A"/>
    <w:rsid w:val="007B43E5"/>
    <w:rsid w:val="007B4977"/>
    <w:rsid w:val="007B4AAC"/>
    <w:rsid w:val="007B608D"/>
    <w:rsid w:val="007B6D68"/>
    <w:rsid w:val="007B71AF"/>
    <w:rsid w:val="007B7751"/>
    <w:rsid w:val="007B7C79"/>
    <w:rsid w:val="007C04FD"/>
    <w:rsid w:val="007C089D"/>
    <w:rsid w:val="007C0EC9"/>
    <w:rsid w:val="007C122C"/>
    <w:rsid w:val="007C14B1"/>
    <w:rsid w:val="007C1538"/>
    <w:rsid w:val="007C15F0"/>
    <w:rsid w:val="007C15F7"/>
    <w:rsid w:val="007C1756"/>
    <w:rsid w:val="007C19BC"/>
    <w:rsid w:val="007C2238"/>
    <w:rsid w:val="007C2847"/>
    <w:rsid w:val="007C38CE"/>
    <w:rsid w:val="007C3988"/>
    <w:rsid w:val="007C40EF"/>
    <w:rsid w:val="007C46A7"/>
    <w:rsid w:val="007C49B4"/>
    <w:rsid w:val="007C4A9C"/>
    <w:rsid w:val="007C585C"/>
    <w:rsid w:val="007C58B1"/>
    <w:rsid w:val="007C59D7"/>
    <w:rsid w:val="007C7983"/>
    <w:rsid w:val="007D028A"/>
    <w:rsid w:val="007D2096"/>
    <w:rsid w:val="007D264F"/>
    <w:rsid w:val="007D3A4E"/>
    <w:rsid w:val="007D54F9"/>
    <w:rsid w:val="007D71E8"/>
    <w:rsid w:val="007D76EF"/>
    <w:rsid w:val="007D79F7"/>
    <w:rsid w:val="007D7AEC"/>
    <w:rsid w:val="007E092F"/>
    <w:rsid w:val="007E0BD5"/>
    <w:rsid w:val="007E11C4"/>
    <w:rsid w:val="007E1A31"/>
    <w:rsid w:val="007E1EEB"/>
    <w:rsid w:val="007E1FAD"/>
    <w:rsid w:val="007E2D03"/>
    <w:rsid w:val="007E4320"/>
    <w:rsid w:val="007E47F0"/>
    <w:rsid w:val="007E54DC"/>
    <w:rsid w:val="007E680F"/>
    <w:rsid w:val="007E6AE9"/>
    <w:rsid w:val="007E6FB2"/>
    <w:rsid w:val="007E77E7"/>
    <w:rsid w:val="007F06F0"/>
    <w:rsid w:val="007F121A"/>
    <w:rsid w:val="007F13C5"/>
    <w:rsid w:val="007F28FF"/>
    <w:rsid w:val="007F2907"/>
    <w:rsid w:val="007F2EBA"/>
    <w:rsid w:val="007F3401"/>
    <w:rsid w:val="007F3839"/>
    <w:rsid w:val="007F41E6"/>
    <w:rsid w:val="007F43E2"/>
    <w:rsid w:val="007F4B91"/>
    <w:rsid w:val="007F4BCE"/>
    <w:rsid w:val="007F56B3"/>
    <w:rsid w:val="007F5C0C"/>
    <w:rsid w:val="007F618E"/>
    <w:rsid w:val="007F74E1"/>
    <w:rsid w:val="00800B7F"/>
    <w:rsid w:val="00800D08"/>
    <w:rsid w:val="008010E0"/>
    <w:rsid w:val="00801159"/>
    <w:rsid w:val="00801487"/>
    <w:rsid w:val="008021C5"/>
    <w:rsid w:val="00802566"/>
    <w:rsid w:val="00802F7F"/>
    <w:rsid w:val="008032D6"/>
    <w:rsid w:val="0080387C"/>
    <w:rsid w:val="00803E7D"/>
    <w:rsid w:val="0080409E"/>
    <w:rsid w:val="008043AF"/>
    <w:rsid w:val="00804C23"/>
    <w:rsid w:val="00805559"/>
    <w:rsid w:val="0080566A"/>
    <w:rsid w:val="00805C3B"/>
    <w:rsid w:val="0080664C"/>
    <w:rsid w:val="00807162"/>
    <w:rsid w:val="00807302"/>
    <w:rsid w:val="008077C9"/>
    <w:rsid w:val="0081084D"/>
    <w:rsid w:val="00811FA1"/>
    <w:rsid w:val="008128DF"/>
    <w:rsid w:val="00813C96"/>
    <w:rsid w:val="00814379"/>
    <w:rsid w:val="00815F1F"/>
    <w:rsid w:val="008163AB"/>
    <w:rsid w:val="00816F30"/>
    <w:rsid w:val="0082039E"/>
    <w:rsid w:val="0082041E"/>
    <w:rsid w:val="00820644"/>
    <w:rsid w:val="00820994"/>
    <w:rsid w:val="00821722"/>
    <w:rsid w:val="00822290"/>
    <w:rsid w:val="00823746"/>
    <w:rsid w:val="00823C31"/>
    <w:rsid w:val="00824422"/>
    <w:rsid w:val="00824812"/>
    <w:rsid w:val="00824C75"/>
    <w:rsid w:val="00825051"/>
    <w:rsid w:val="00825B67"/>
    <w:rsid w:val="00826064"/>
    <w:rsid w:val="008267D4"/>
    <w:rsid w:val="00826987"/>
    <w:rsid w:val="00826C19"/>
    <w:rsid w:val="00826DE2"/>
    <w:rsid w:val="00826F52"/>
    <w:rsid w:val="0082749F"/>
    <w:rsid w:val="008275A3"/>
    <w:rsid w:val="00827656"/>
    <w:rsid w:val="00830071"/>
    <w:rsid w:val="00830308"/>
    <w:rsid w:val="00830381"/>
    <w:rsid w:val="008305EF"/>
    <w:rsid w:val="00830612"/>
    <w:rsid w:val="00830BC4"/>
    <w:rsid w:val="0083195B"/>
    <w:rsid w:val="008319B1"/>
    <w:rsid w:val="0083375B"/>
    <w:rsid w:val="00833A1E"/>
    <w:rsid w:val="00833EC4"/>
    <w:rsid w:val="00834A2A"/>
    <w:rsid w:val="00835979"/>
    <w:rsid w:val="00835AFA"/>
    <w:rsid w:val="00835D0E"/>
    <w:rsid w:val="00835EBE"/>
    <w:rsid w:val="0083611D"/>
    <w:rsid w:val="008364D3"/>
    <w:rsid w:val="00836AFB"/>
    <w:rsid w:val="00837395"/>
    <w:rsid w:val="008375E7"/>
    <w:rsid w:val="00840340"/>
    <w:rsid w:val="0084060C"/>
    <w:rsid w:val="00840884"/>
    <w:rsid w:val="0084091D"/>
    <w:rsid w:val="00840B59"/>
    <w:rsid w:val="00840F62"/>
    <w:rsid w:val="008415BC"/>
    <w:rsid w:val="00841E74"/>
    <w:rsid w:val="00842EE8"/>
    <w:rsid w:val="008432EF"/>
    <w:rsid w:val="008433E4"/>
    <w:rsid w:val="00843C3A"/>
    <w:rsid w:val="008440C9"/>
    <w:rsid w:val="008446C8"/>
    <w:rsid w:val="008447CA"/>
    <w:rsid w:val="008448A0"/>
    <w:rsid w:val="008456EF"/>
    <w:rsid w:val="00845D3F"/>
    <w:rsid w:val="008465AD"/>
    <w:rsid w:val="0084723F"/>
    <w:rsid w:val="00847253"/>
    <w:rsid w:val="008476EC"/>
    <w:rsid w:val="0084771F"/>
    <w:rsid w:val="00850D7D"/>
    <w:rsid w:val="008510D8"/>
    <w:rsid w:val="0085121D"/>
    <w:rsid w:val="0085183D"/>
    <w:rsid w:val="00851B1B"/>
    <w:rsid w:val="00851BD4"/>
    <w:rsid w:val="00851C56"/>
    <w:rsid w:val="00852432"/>
    <w:rsid w:val="0085275B"/>
    <w:rsid w:val="00852F8A"/>
    <w:rsid w:val="008538DA"/>
    <w:rsid w:val="00853AE7"/>
    <w:rsid w:val="00853C11"/>
    <w:rsid w:val="008540CC"/>
    <w:rsid w:val="00854B30"/>
    <w:rsid w:val="00855269"/>
    <w:rsid w:val="00855558"/>
    <w:rsid w:val="00855A01"/>
    <w:rsid w:val="00856513"/>
    <w:rsid w:val="00856DF9"/>
    <w:rsid w:val="00857715"/>
    <w:rsid w:val="00857B44"/>
    <w:rsid w:val="00860C46"/>
    <w:rsid w:val="00861D5D"/>
    <w:rsid w:val="0086238F"/>
    <w:rsid w:val="00862F2B"/>
    <w:rsid w:val="00862F43"/>
    <w:rsid w:val="00862FA9"/>
    <w:rsid w:val="00863019"/>
    <w:rsid w:val="00864672"/>
    <w:rsid w:val="00864856"/>
    <w:rsid w:val="00864D92"/>
    <w:rsid w:val="00865441"/>
    <w:rsid w:val="00865780"/>
    <w:rsid w:val="00866A79"/>
    <w:rsid w:val="00867034"/>
    <w:rsid w:val="0086736A"/>
    <w:rsid w:val="0086746B"/>
    <w:rsid w:val="00867539"/>
    <w:rsid w:val="00870446"/>
    <w:rsid w:val="00870A1D"/>
    <w:rsid w:val="00870DB9"/>
    <w:rsid w:val="008715D4"/>
    <w:rsid w:val="0087320D"/>
    <w:rsid w:val="00874261"/>
    <w:rsid w:val="00875329"/>
    <w:rsid w:val="0087546D"/>
    <w:rsid w:val="008765B5"/>
    <w:rsid w:val="008767D1"/>
    <w:rsid w:val="00877424"/>
    <w:rsid w:val="00881321"/>
    <w:rsid w:val="008816D7"/>
    <w:rsid w:val="00881B84"/>
    <w:rsid w:val="00881D8F"/>
    <w:rsid w:val="00882263"/>
    <w:rsid w:val="0088266E"/>
    <w:rsid w:val="00882A09"/>
    <w:rsid w:val="00882EDD"/>
    <w:rsid w:val="00883C8C"/>
    <w:rsid w:val="008845A4"/>
    <w:rsid w:val="00884D27"/>
    <w:rsid w:val="00884FE8"/>
    <w:rsid w:val="00885335"/>
    <w:rsid w:val="0088588C"/>
    <w:rsid w:val="00886AA2"/>
    <w:rsid w:val="00887861"/>
    <w:rsid w:val="00887F8A"/>
    <w:rsid w:val="008906F3"/>
    <w:rsid w:val="00890947"/>
    <w:rsid w:val="00891793"/>
    <w:rsid w:val="00891983"/>
    <w:rsid w:val="00891A8E"/>
    <w:rsid w:val="00891CB1"/>
    <w:rsid w:val="00891DC0"/>
    <w:rsid w:val="008924C0"/>
    <w:rsid w:val="00892599"/>
    <w:rsid w:val="008925D6"/>
    <w:rsid w:val="00892F5A"/>
    <w:rsid w:val="00893165"/>
    <w:rsid w:val="0089381A"/>
    <w:rsid w:val="00893DF8"/>
    <w:rsid w:val="008940D3"/>
    <w:rsid w:val="0089547C"/>
    <w:rsid w:val="008955B1"/>
    <w:rsid w:val="0089571A"/>
    <w:rsid w:val="0089589F"/>
    <w:rsid w:val="00895F0D"/>
    <w:rsid w:val="008962C9"/>
    <w:rsid w:val="00896785"/>
    <w:rsid w:val="00896E88"/>
    <w:rsid w:val="00896FB5"/>
    <w:rsid w:val="0089780A"/>
    <w:rsid w:val="00897C46"/>
    <w:rsid w:val="008A0142"/>
    <w:rsid w:val="008A0712"/>
    <w:rsid w:val="008A0EB5"/>
    <w:rsid w:val="008A1BFD"/>
    <w:rsid w:val="008A21FB"/>
    <w:rsid w:val="008A2EA7"/>
    <w:rsid w:val="008A467D"/>
    <w:rsid w:val="008A473A"/>
    <w:rsid w:val="008A662E"/>
    <w:rsid w:val="008A681A"/>
    <w:rsid w:val="008A7074"/>
    <w:rsid w:val="008A733E"/>
    <w:rsid w:val="008B0A4B"/>
    <w:rsid w:val="008B0B2B"/>
    <w:rsid w:val="008B1E65"/>
    <w:rsid w:val="008B2D28"/>
    <w:rsid w:val="008B2FB2"/>
    <w:rsid w:val="008B307B"/>
    <w:rsid w:val="008B3129"/>
    <w:rsid w:val="008B3296"/>
    <w:rsid w:val="008B3B5E"/>
    <w:rsid w:val="008B487D"/>
    <w:rsid w:val="008B4A05"/>
    <w:rsid w:val="008B50DF"/>
    <w:rsid w:val="008B53BA"/>
    <w:rsid w:val="008B5497"/>
    <w:rsid w:val="008B5AA1"/>
    <w:rsid w:val="008B5C5B"/>
    <w:rsid w:val="008B5E1C"/>
    <w:rsid w:val="008B5EBD"/>
    <w:rsid w:val="008B6ED1"/>
    <w:rsid w:val="008B710B"/>
    <w:rsid w:val="008B7EE2"/>
    <w:rsid w:val="008C0725"/>
    <w:rsid w:val="008C0E73"/>
    <w:rsid w:val="008C2183"/>
    <w:rsid w:val="008C2A0C"/>
    <w:rsid w:val="008C400B"/>
    <w:rsid w:val="008C4247"/>
    <w:rsid w:val="008C6956"/>
    <w:rsid w:val="008C6BD9"/>
    <w:rsid w:val="008C6C22"/>
    <w:rsid w:val="008C7954"/>
    <w:rsid w:val="008D0419"/>
    <w:rsid w:val="008D0622"/>
    <w:rsid w:val="008D0742"/>
    <w:rsid w:val="008D1250"/>
    <w:rsid w:val="008D147D"/>
    <w:rsid w:val="008D1765"/>
    <w:rsid w:val="008D1797"/>
    <w:rsid w:val="008D19CF"/>
    <w:rsid w:val="008D1C55"/>
    <w:rsid w:val="008D22B9"/>
    <w:rsid w:val="008D2BC5"/>
    <w:rsid w:val="008D4070"/>
    <w:rsid w:val="008D4684"/>
    <w:rsid w:val="008D4687"/>
    <w:rsid w:val="008D48A9"/>
    <w:rsid w:val="008D492B"/>
    <w:rsid w:val="008D55F2"/>
    <w:rsid w:val="008D563A"/>
    <w:rsid w:val="008D5A16"/>
    <w:rsid w:val="008D5E0B"/>
    <w:rsid w:val="008D67C3"/>
    <w:rsid w:val="008D6EBA"/>
    <w:rsid w:val="008D741E"/>
    <w:rsid w:val="008E03A5"/>
    <w:rsid w:val="008E0CF4"/>
    <w:rsid w:val="008E0DE2"/>
    <w:rsid w:val="008E1451"/>
    <w:rsid w:val="008E195B"/>
    <w:rsid w:val="008E1E11"/>
    <w:rsid w:val="008E2EB1"/>
    <w:rsid w:val="008E3A0D"/>
    <w:rsid w:val="008E40ED"/>
    <w:rsid w:val="008E44D2"/>
    <w:rsid w:val="008E51C4"/>
    <w:rsid w:val="008E55B6"/>
    <w:rsid w:val="008E59DC"/>
    <w:rsid w:val="008E6B76"/>
    <w:rsid w:val="008E7DA4"/>
    <w:rsid w:val="008F0437"/>
    <w:rsid w:val="008F04E4"/>
    <w:rsid w:val="008F14C6"/>
    <w:rsid w:val="008F2439"/>
    <w:rsid w:val="008F3CFA"/>
    <w:rsid w:val="008F3F17"/>
    <w:rsid w:val="008F55D9"/>
    <w:rsid w:val="008F5713"/>
    <w:rsid w:val="008F60E9"/>
    <w:rsid w:val="008F6966"/>
    <w:rsid w:val="008F6C99"/>
    <w:rsid w:val="008F759B"/>
    <w:rsid w:val="008F7C88"/>
    <w:rsid w:val="008F7E39"/>
    <w:rsid w:val="009011C3"/>
    <w:rsid w:val="0090195F"/>
    <w:rsid w:val="00902074"/>
    <w:rsid w:val="009031CE"/>
    <w:rsid w:val="009034C3"/>
    <w:rsid w:val="00903730"/>
    <w:rsid w:val="009048FB"/>
    <w:rsid w:val="009055C4"/>
    <w:rsid w:val="00905642"/>
    <w:rsid w:val="00905A1E"/>
    <w:rsid w:val="0090635A"/>
    <w:rsid w:val="00910398"/>
    <w:rsid w:val="00910633"/>
    <w:rsid w:val="00910832"/>
    <w:rsid w:val="00911A3C"/>
    <w:rsid w:val="00912068"/>
    <w:rsid w:val="00912337"/>
    <w:rsid w:val="00912450"/>
    <w:rsid w:val="0091278F"/>
    <w:rsid w:val="00912868"/>
    <w:rsid w:val="00912B6C"/>
    <w:rsid w:val="0091373C"/>
    <w:rsid w:val="00914025"/>
    <w:rsid w:val="009143AA"/>
    <w:rsid w:val="0091522E"/>
    <w:rsid w:val="00915330"/>
    <w:rsid w:val="00915DDC"/>
    <w:rsid w:val="009161AB"/>
    <w:rsid w:val="00916DAD"/>
    <w:rsid w:val="0091735A"/>
    <w:rsid w:val="009176D0"/>
    <w:rsid w:val="00917DB5"/>
    <w:rsid w:val="0092110E"/>
    <w:rsid w:val="00921817"/>
    <w:rsid w:val="00922B3E"/>
    <w:rsid w:val="00922FFE"/>
    <w:rsid w:val="00923103"/>
    <w:rsid w:val="009234DE"/>
    <w:rsid w:val="009246A7"/>
    <w:rsid w:val="009247B8"/>
    <w:rsid w:val="00925446"/>
    <w:rsid w:val="00925D20"/>
    <w:rsid w:val="00926706"/>
    <w:rsid w:val="00926FDE"/>
    <w:rsid w:val="0092746F"/>
    <w:rsid w:val="00927727"/>
    <w:rsid w:val="00927B4E"/>
    <w:rsid w:val="00930766"/>
    <w:rsid w:val="00930A8D"/>
    <w:rsid w:val="00931619"/>
    <w:rsid w:val="00931860"/>
    <w:rsid w:val="0093190D"/>
    <w:rsid w:val="00931BE8"/>
    <w:rsid w:val="00932268"/>
    <w:rsid w:val="0093262C"/>
    <w:rsid w:val="00932DD2"/>
    <w:rsid w:val="00934CD2"/>
    <w:rsid w:val="0093710A"/>
    <w:rsid w:val="00937BC6"/>
    <w:rsid w:val="00937C92"/>
    <w:rsid w:val="0094122A"/>
    <w:rsid w:val="00941893"/>
    <w:rsid w:val="00942513"/>
    <w:rsid w:val="009429A2"/>
    <w:rsid w:val="00942E02"/>
    <w:rsid w:val="0094364B"/>
    <w:rsid w:val="00943F04"/>
    <w:rsid w:val="009444F3"/>
    <w:rsid w:val="00944538"/>
    <w:rsid w:val="00944889"/>
    <w:rsid w:val="009451E2"/>
    <w:rsid w:val="009457ED"/>
    <w:rsid w:val="009460DF"/>
    <w:rsid w:val="009464D0"/>
    <w:rsid w:val="009468EC"/>
    <w:rsid w:val="00946E4F"/>
    <w:rsid w:val="0094774F"/>
    <w:rsid w:val="0095036B"/>
    <w:rsid w:val="009508C1"/>
    <w:rsid w:val="00950BA1"/>
    <w:rsid w:val="00951CF0"/>
    <w:rsid w:val="0095206A"/>
    <w:rsid w:val="0095290E"/>
    <w:rsid w:val="00952E98"/>
    <w:rsid w:val="00952EC6"/>
    <w:rsid w:val="00952EFB"/>
    <w:rsid w:val="00953204"/>
    <w:rsid w:val="009533DC"/>
    <w:rsid w:val="00953453"/>
    <w:rsid w:val="009537B3"/>
    <w:rsid w:val="00954407"/>
    <w:rsid w:val="0095456C"/>
    <w:rsid w:val="009546D4"/>
    <w:rsid w:val="00954DA5"/>
    <w:rsid w:val="00954DC7"/>
    <w:rsid w:val="00954E95"/>
    <w:rsid w:val="0095575A"/>
    <w:rsid w:val="00955DB3"/>
    <w:rsid w:val="009560F0"/>
    <w:rsid w:val="0095625C"/>
    <w:rsid w:val="00956780"/>
    <w:rsid w:val="00956806"/>
    <w:rsid w:val="0095688F"/>
    <w:rsid w:val="00960752"/>
    <w:rsid w:val="00960E09"/>
    <w:rsid w:val="00960E99"/>
    <w:rsid w:val="0096196B"/>
    <w:rsid w:val="00961A6C"/>
    <w:rsid w:val="00961DF1"/>
    <w:rsid w:val="00962206"/>
    <w:rsid w:val="009627D2"/>
    <w:rsid w:val="00962A00"/>
    <w:rsid w:val="009631F3"/>
    <w:rsid w:val="009632F4"/>
    <w:rsid w:val="00964D6A"/>
    <w:rsid w:val="00965148"/>
    <w:rsid w:val="00965EF0"/>
    <w:rsid w:val="00966304"/>
    <w:rsid w:val="0096654D"/>
    <w:rsid w:val="00966809"/>
    <w:rsid w:val="00966BFF"/>
    <w:rsid w:val="00966ECD"/>
    <w:rsid w:val="00966EFB"/>
    <w:rsid w:val="00966F38"/>
    <w:rsid w:val="00967108"/>
    <w:rsid w:val="00967164"/>
    <w:rsid w:val="00967470"/>
    <w:rsid w:val="00967D72"/>
    <w:rsid w:val="00970B74"/>
    <w:rsid w:val="00970F91"/>
    <w:rsid w:val="0097172E"/>
    <w:rsid w:val="00971D6C"/>
    <w:rsid w:val="0097254F"/>
    <w:rsid w:val="009728AA"/>
    <w:rsid w:val="009737FE"/>
    <w:rsid w:val="00973DD6"/>
    <w:rsid w:val="00974927"/>
    <w:rsid w:val="009754D3"/>
    <w:rsid w:val="0097560C"/>
    <w:rsid w:val="009757AD"/>
    <w:rsid w:val="00975A01"/>
    <w:rsid w:val="00975CC5"/>
    <w:rsid w:val="00976E05"/>
    <w:rsid w:val="009773C8"/>
    <w:rsid w:val="009777F6"/>
    <w:rsid w:val="00977978"/>
    <w:rsid w:val="00977DD0"/>
    <w:rsid w:val="00977EBB"/>
    <w:rsid w:val="009803B7"/>
    <w:rsid w:val="009806B9"/>
    <w:rsid w:val="00980914"/>
    <w:rsid w:val="00980F44"/>
    <w:rsid w:val="0098157A"/>
    <w:rsid w:val="00981B56"/>
    <w:rsid w:val="00983ACF"/>
    <w:rsid w:val="009843DC"/>
    <w:rsid w:val="00984643"/>
    <w:rsid w:val="00984FD0"/>
    <w:rsid w:val="009857F2"/>
    <w:rsid w:val="009858B5"/>
    <w:rsid w:val="00985B35"/>
    <w:rsid w:val="009863A0"/>
    <w:rsid w:val="009863E3"/>
    <w:rsid w:val="00986C38"/>
    <w:rsid w:val="00986FD9"/>
    <w:rsid w:val="00987A1A"/>
    <w:rsid w:val="00987AA9"/>
    <w:rsid w:val="00987CFC"/>
    <w:rsid w:val="00990253"/>
    <w:rsid w:val="00990875"/>
    <w:rsid w:val="00991352"/>
    <w:rsid w:val="0099142A"/>
    <w:rsid w:val="00991F09"/>
    <w:rsid w:val="009922A1"/>
    <w:rsid w:val="00992F72"/>
    <w:rsid w:val="00993266"/>
    <w:rsid w:val="00994E46"/>
    <w:rsid w:val="00995AFD"/>
    <w:rsid w:val="009963DF"/>
    <w:rsid w:val="00996AEA"/>
    <w:rsid w:val="009A000D"/>
    <w:rsid w:val="009A01F7"/>
    <w:rsid w:val="009A0646"/>
    <w:rsid w:val="009A1035"/>
    <w:rsid w:val="009A1375"/>
    <w:rsid w:val="009A13B9"/>
    <w:rsid w:val="009A2678"/>
    <w:rsid w:val="009A273C"/>
    <w:rsid w:val="009A27ED"/>
    <w:rsid w:val="009A29A1"/>
    <w:rsid w:val="009A2A93"/>
    <w:rsid w:val="009A34CC"/>
    <w:rsid w:val="009A3F33"/>
    <w:rsid w:val="009A3F5D"/>
    <w:rsid w:val="009A3F9B"/>
    <w:rsid w:val="009A401C"/>
    <w:rsid w:val="009A40B1"/>
    <w:rsid w:val="009A55EC"/>
    <w:rsid w:val="009A5A4F"/>
    <w:rsid w:val="009A5AF4"/>
    <w:rsid w:val="009A5CD3"/>
    <w:rsid w:val="009A6C77"/>
    <w:rsid w:val="009A78DA"/>
    <w:rsid w:val="009A7D83"/>
    <w:rsid w:val="009A7DA7"/>
    <w:rsid w:val="009A7DB0"/>
    <w:rsid w:val="009B1648"/>
    <w:rsid w:val="009B2F00"/>
    <w:rsid w:val="009B323B"/>
    <w:rsid w:val="009B32A1"/>
    <w:rsid w:val="009B3D9C"/>
    <w:rsid w:val="009B4F8D"/>
    <w:rsid w:val="009B5301"/>
    <w:rsid w:val="009B606A"/>
    <w:rsid w:val="009B6595"/>
    <w:rsid w:val="009B6CEB"/>
    <w:rsid w:val="009B7670"/>
    <w:rsid w:val="009B78F6"/>
    <w:rsid w:val="009B792B"/>
    <w:rsid w:val="009C0B20"/>
    <w:rsid w:val="009C0CB4"/>
    <w:rsid w:val="009C1350"/>
    <w:rsid w:val="009C37D2"/>
    <w:rsid w:val="009C3974"/>
    <w:rsid w:val="009C4A3A"/>
    <w:rsid w:val="009C54B7"/>
    <w:rsid w:val="009C646A"/>
    <w:rsid w:val="009C6549"/>
    <w:rsid w:val="009C6E9D"/>
    <w:rsid w:val="009C7188"/>
    <w:rsid w:val="009C7905"/>
    <w:rsid w:val="009D0511"/>
    <w:rsid w:val="009D0838"/>
    <w:rsid w:val="009D0B11"/>
    <w:rsid w:val="009D109B"/>
    <w:rsid w:val="009D1921"/>
    <w:rsid w:val="009D282C"/>
    <w:rsid w:val="009D31AF"/>
    <w:rsid w:val="009D33D4"/>
    <w:rsid w:val="009D3D6D"/>
    <w:rsid w:val="009D3FB4"/>
    <w:rsid w:val="009D43B0"/>
    <w:rsid w:val="009D648B"/>
    <w:rsid w:val="009D65BB"/>
    <w:rsid w:val="009D6BCF"/>
    <w:rsid w:val="009D6C36"/>
    <w:rsid w:val="009D7FE8"/>
    <w:rsid w:val="009E0A4E"/>
    <w:rsid w:val="009E0CF6"/>
    <w:rsid w:val="009E115D"/>
    <w:rsid w:val="009E13FA"/>
    <w:rsid w:val="009E2A04"/>
    <w:rsid w:val="009E3467"/>
    <w:rsid w:val="009E36F2"/>
    <w:rsid w:val="009E3757"/>
    <w:rsid w:val="009E3819"/>
    <w:rsid w:val="009E3CC1"/>
    <w:rsid w:val="009E427A"/>
    <w:rsid w:val="009E4407"/>
    <w:rsid w:val="009E4EB0"/>
    <w:rsid w:val="009E4F95"/>
    <w:rsid w:val="009E5062"/>
    <w:rsid w:val="009E5248"/>
    <w:rsid w:val="009E526D"/>
    <w:rsid w:val="009E58C0"/>
    <w:rsid w:val="009E6A7C"/>
    <w:rsid w:val="009E6A9D"/>
    <w:rsid w:val="009E725E"/>
    <w:rsid w:val="009E744A"/>
    <w:rsid w:val="009E77BF"/>
    <w:rsid w:val="009E7A8C"/>
    <w:rsid w:val="009E7A9C"/>
    <w:rsid w:val="009E7CCF"/>
    <w:rsid w:val="009F0044"/>
    <w:rsid w:val="009F06C6"/>
    <w:rsid w:val="009F09CE"/>
    <w:rsid w:val="009F0B32"/>
    <w:rsid w:val="009F236F"/>
    <w:rsid w:val="009F406F"/>
    <w:rsid w:val="009F5350"/>
    <w:rsid w:val="009F5441"/>
    <w:rsid w:val="009F5826"/>
    <w:rsid w:val="009F596A"/>
    <w:rsid w:val="009F6664"/>
    <w:rsid w:val="009F73BD"/>
    <w:rsid w:val="00A0010C"/>
    <w:rsid w:val="00A0014E"/>
    <w:rsid w:val="00A00CD9"/>
    <w:rsid w:val="00A00E2D"/>
    <w:rsid w:val="00A024DD"/>
    <w:rsid w:val="00A0431C"/>
    <w:rsid w:val="00A04A8A"/>
    <w:rsid w:val="00A04D33"/>
    <w:rsid w:val="00A0557C"/>
    <w:rsid w:val="00A068F7"/>
    <w:rsid w:val="00A06B1C"/>
    <w:rsid w:val="00A06F13"/>
    <w:rsid w:val="00A07406"/>
    <w:rsid w:val="00A07699"/>
    <w:rsid w:val="00A105A7"/>
    <w:rsid w:val="00A10FBD"/>
    <w:rsid w:val="00A11194"/>
    <w:rsid w:val="00A11734"/>
    <w:rsid w:val="00A1184E"/>
    <w:rsid w:val="00A11D45"/>
    <w:rsid w:val="00A12167"/>
    <w:rsid w:val="00A12A4B"/>
    <w:rsid w:val="00A13E18"/>
    <w:rsid w:val="00A14317"/>
    <w:rsid w:val="00A1462A"/>
    <w:rsid w:val="00A15B4B"/>
    <w:rsid w:val="00A15B85"/>
    <w:rsid w:val="00A16149"/>
    <w:rsid w:val="00A161B4"/>
    <w:rsid w:val="00A17C85"/>
    <w:rsid w:val="00A17F7B"/>
    <w:rsid w:val="00A20235"/>
    <w:rsid w:val="00A22060"/>
    <w:rsid w:val="00A22671"/>
    <w:rsid w:val="00A22CC0"/>
    <w:rsid w:val="00A22D05"/>
    <w:rsid w:val="00A23BE5"/>
    <w:rsid w:val="00A24190"/>
    <w:rsid w:val="00A24569"/>
    <w:rsid w:val="00A24AAB"/>
    <w:rsid w:val="00A24E86"/>
    <w:rsid w:val="00A259B1"/>
    <w:rsid w:val="00A25D3E"/>
    <w:rsid w:val="00A26527"/>
    <w:rsid w:val="00A27790"/>
    <w:rsid w:val="00A27929"/>
    <w:rsid w:val="00A27BF3"/>
    <w:rsid w:val="00A321C2"/>
    <w:rsid w:val="00A32223"/>
    <w:rsid w:val="00A32814"/>
    <w:rsid w:val="00A3284C"/>
    <w:rsid w:val="00A3383A"/>
    <w:rsid w:val="00A33879"/>
    <w:rsid w:val="00A33AC0"/>
    <w:rsid w:val="00A33EEB"/>
    <w:rsid w:val="00A33EEC"/>
    <w:rsid w:val="00A348F4"/>
    <w:rsid w:val="00A34AE5"/>
    <w:rsid w:val="00A34EE2"/>
    <w:rsid w:val="00A35642"/>
    <w:rsid w:val="00A3610A"/>
    <w:rsid w:val="00A36244"/>
    <w:rsid w:val="00A3673C"/>
    <w:rsid w:val="00A36A4D"/>
    <w:rsid w:val="00A36D42"/>
    <w:rsid w:val="00A373AF"/>
    <w:rsid w:val="00A37AC3"/>
    <w:rsid w:val="00A37CAA"/>
    <w:rsid w:val="00A37D03"/>
    <w:rsid w:val="00A37EC1"/>
    <w:rsid w:val="00A4061F"/>
    <w:rsid w:val="00A4089E"/>
    <w:rsid w:val="00A40C54"/>
    <w:rsid w:val="00A40EDC"/>
    <w:rsid w:val="00A410CB"/>
    <w:rsid w:val="00A41370"/>
    <w:rsid w:val="00A41DC6"/>
    <w:rsid w:val="00A423C8"/>
    <w:rsid w:val="00A42479"/>
    <w:rsid w:val="00A4332D"/>
    <w:rsid w:val="00A4337D"/>
    <w:rsid w:val="00A436D5"/>
    <w:rsid w:val="00A43ED4"/>
    <w:rsid w:val="00A44246"/>
    <w:rsid w:val="00A446D1"/>
    <w:rsid w:val="00A453CC"/>
    <w:rsid w:val="00A454C6"/>
    <w:rsid w:val="00A45C24"/>
    <w:rsid w:val="00A45ED0"/>
    <w:rsid w:val="00A46E9E"/>
    <w:rsid w:val="00A50364"/>
    <w:rsid w:val="00A51DC2"/>
    <w:rsid w:val="00A51DEC"/>
    <w:rsid w:val="00A530E3"/>
    <w:rsid w:val="00A530F3"/>
    <w:rsid w:val="00A54EC3"/>
    <w:rsid w:val="00A55371"/>
    <w:rsid w:val="00A564C2"/>
    <w:rsid w:val="00A56B54"/>
    <w:rsid w:val="00A570FB"/>
    <w:rsid w:val="00A572B7"/>
    <w:rsid w:val="00A573C0"/>
    <w:rsid w:val="00A5782C"/>
    <w:rsid w:val="00A578AE"/>
    <w:rsid w:val="00A60074"/>
    <w:rsid w:val="00A60447"/>
    <w:rsid w:val="00A60B44"/>
    <w:rsid w:val="00A6124C"/>
    <w:rsid w:val="00A61E03"/>
    <w:rsid w:val="00A61F50"/>
    <w:rsid w:val="00A61FA2"/>
    <w:rsid w:val="00A621F2"/>
    <w:rsid w:val="00A624FF"/>
    <w:rsid w:val="00A625E4"/>
    <w:rsid w:val="00A626B7"/>
    <w:rsid w:val="00A6298E"/>
    <w:rsid w:val="00A62BDF"/>
    <w:rsid w:val="00A62BEE"/>
    <w:rsid w:val="00A62F98"/>
    <w:rsid w:val="00A63ADF"/>
    <w:rsid w:val="00A64D93"/>
    <w:rsid w:val="00A65220"/>
    <w:rsid w:val="00A6537C"/>
    <w:rsid w:val="00A655B5"/>
    <w:rsid w:val="00A65616"/>
    <w:rsid w:val="00A65B35"/>
    <w:rsid w:val="00A662DD"/>
    <w:rsid w:val="00A6645E"/>
    <w:rsid w:val="00A664D9"/>
    <w:rsid w:val="00A672F3"/>
    <w:rsid w:val="00A6780E"/>
    <w:rsid w:val="00A67D5C"/>
    <w:rsid w:val="00A70A3C"/>
    <w:rsid w:val="00A710B9"/>
    <w:rsid w:val="00A72031"/>
    <w:rsid w:val="00A7207C"/>
    <w:rsid w:val="00A7231B"/>
    <w:rsid w:val="00A725A0"/>
    <w:rsid w:val="00A72990"/>
    <w:rsid w:val="00A72B76"/>
    <w:rsid w:val="00A72DAB"/>
    <w:rsid w:val="00A72ED6"/>
    <w:rsid w:val="00A73FF4"/>
    <w:rsid w:val="00A7459B"/>
    <w:rsid w:val="00A7491F"/>
    <w:rsid w:val="00A7494E"/>
    <w:rsid w:val="00A74B4F"/>
    <w:rsid w:val="00A7503B"/>
    <w:rsid w:val="00A77077"/>
    <w:rsid w:val="00A772CD"/>
    <w:rsid w:val="00A77599"/>
    <w:rsid w:val="00A777E1"/>
    <w:rsid w:val="00A77D2B"/>
    <w:rsid w:val="00A8035A"/>
    <w:rsid w:val="00A805A2"/>
    <w:rsid w:val="00A80C39"/>
    <w:rsid w:val="00A80C53"/>
    <w:rsid w:val="00A8114C"/>
    <w:rsid w:val="00A81960"/>
    <w:rsid w:val="00A81E16"/>
    <w:rsid w:val="00A8285A"/>
    <w:rsid w:val="00A82B67"/>
    <w:rsid w:val="00A833D1"/>
    <w:rsid w:val="00A836BB"/>
    <w:rsid w:val="00A839D1"/>
    <w:rsid w:val="00A8461F"/>
    <w:rsid w:val="00A85064"/>
    <w:rsid w:val="00A85695"/>
    <w:rsid w:val="00A8629B"/>
    <w:rsid w:val="00A86C77"/>
    <w:rsid w:val="00A874D0"/>
    <w:rsid w:val="00A87D98"/>
    <w:rsid w:val="00A908C2"/>
    <w:rsid w:val="00A90953"/>
    <w:rsid w:val="00A91392"/>
    <w:rsid w:val="00A91734"/>
    <w:rsid w:val="00A91746"/>
    <w:rsid w:val="00A91768"/>
    <w:rsid w:val="00A918FB"/>
    <w:rsid w:val="00A91B62"/>
    <w:rsid w:val="00A9258E"/>
    <w:rsid w:val="00A92E8A"/>
    <w:rsid w:val="00A93302"/>
    <w:rsid w:val="00A93438"/>
    <w:rsid w:val="00A93F99"/>
    <w:rsid w:val="00A94DE2"/>
    <w:rsid w:val="00A9580B"/>
    <w:rsid w:val="00A963A6"/>
    <w:rsid w:val="00A96EE0"/>
    <w:rsid w:val="00A97C87"/>
    <w:rsid w:val="00A97F16"/>
    <w:rsid w:val="00AA015F"/>
    <w:rsid w:val="00AA051B"/>
    <w:rsid w:val="00AA0CE9"/>
    <w:rsid w:val="00AA0EAA"/>
    <w:rsid w:val="00AA1284"/>
    <w:rsid w:val="00AA16EC"/>
    <w:rsid w:val="00AA1EB1"/>
    <w:rsid w:val="00AA23E4"/>
    <w:rsid w:val="00AA258F"/>
    <w:rsid w:val="00AA2BE2"/>
    <w:rsid w:val="00AA3065"/>
    <w:rsid w:val="00AA3C75"/>
    <w:rsid w:val="00AA4486"/>
    <w:rsid w:val="00AA4AFB"/>
    <w:rsid w:val="00AA6128"/>
    <w:rsid w:val="00AA73F6"/>
    <w:rsid w:val="00AA7531"/>
    <w:rsid w:val="00AA7922"/>
    <w:rsid w:val="00AA7D1D"/>
    <w:rsid w:val="00AA7F9B"/>
    <w:rsid w:val="00AB04ED"/>
    <w:rsid w:val="00AB086C"/>
    <w:rsid w:val="00AB19E3"/>
    <w:rsid w:val="00AB1AA3"/>
    <w:rsid w:val="00AB1AA7"/>
    <w:rsid w:val="00AB1BA8"/>
    <w:rsid w:val="00AB1E5F"/>
    <w:rsid w:val="00AB1EE2"/>
    <w:rsid w:val="00AB2800"/>
    <w:rsid w:val="00AB2E9F"/>
    <w:rsid w:val="00AB3370"/>
    <w:rsid w:val="00AB3AAB"/>
    <w:rsid w:val="00AB3D77"/>
    <w:rsid w:val="00AB45F4"/>
    <w:rsid w:val="00AB52B4"/>
    <w:rsid w:val="00AB59B0"/>
    <w:rsid w:val="00AB64E4"/>
    <w:rsid w:val="00AB72E2"/>
    <w:rsid w:val="00AB7451"/>
    <w:rsid w:val="00AC1A0D"/>
    <w:rsid w:val="00AC1AB8"/>
    <w:rsid w:val="00AC2770"/>
    <w:rsid w:val="00AC298C"/>
    <w:rsid w:val="00AC2C91"/>
    <w:rsid w:val="00AC34C8"/>
    <w:rsid w:val="00AC37E3"/>
    <w:rsid w:val="00AC3806"/>
    <w:rsid w:val="00AC3972"/>
    <w:rsid w:val="00AC50F9"/>
    <w:rsid w:val="00AC52DA"/>
    <w:rsid w:val="00AC53E4"/>
    <w:rsid w:val="00AC56B4"/>
    <w:rsid w:val="00AC5DD4"/>
    <w:rsid w:val="00AC5E51"/>
    <w:rsid w:val="00AC669E"/>
    <w:rsid w:val="00AC6D8D"/>
    <w:rsid w:val="00AC6EE9"/>
    <w:rsid w:val="00AC6EFD"/>
    <w:rsid w:val="00AC7557"/>
    <w:rsid w:val="00AC792D"/>
    <w:rsid w:val="00AD02BD"/>
    <w:rsid w:val="00AD11DE"/>
    <w:rsid w:val="00AD181C"/>
    <w:rsid w:val="00AD1FDA"/>
    <w:rsid w:val="00AD2D28"/>
    <w:rsid w:val="00AD3036"/>
    <w:rsid w:val="00AD329E"/>
    <w:rsid w:val="00AD3A97"/>
    <w:rsid w:val="00AD4064"/>
    <w:rsid w:val="00AD5749"/>
    <w:rsid w:val="00AD5E05"/>
    <w:rsid w:val="00AD642F"/>
    <w:rsid w:val="00AD669D"/>
    <w:rsid w:val="00AD68AA"/>
    <w:rsid w:val="00AD6CDD"/>
    <w:rsid w:val="00AE0415"/>
    <w:rsid w:val="00AE22EA"/>
    <w:rsid w:val="00AE299B"/>
    <w:rsid w:val="00AE358D"/>
    <w:rsid w:val="00AE36E8"/>
    <w:rsid w:val="00AE3E23"/>
    <w:rsid w:val="00AE4D57"/>
    <w:rsid w:val="00AE4F1A"/>
    <w:rsid w:val="00AE5360"/>
    <w:rsid w:val="00AE5BBF"/>
    <w:rsid w:val="00AE6684"/>
    <w:rsid w:val="00AE699E"/>
    <w:rsid w:val="00AE72F4"/>
    <w:rsid w:val="00AE78D4"/>
    <w:rsid w:val="00AE7D9D"/>
    <w:rsid w:val="00AF0093"/>
    <w:rsid w:val="00AF067F"/>
    <w:rsid w:val="00AF06D8"/>
    <w:rsid w:val="00AF0817"/>
    <w:rsid w:val="00AF095D"/>
    <w:rsid w:val="00AF0FCD"/>
    <w:rsid w:val="00AF13B5"/>
    <w:rsid w:val="00AF1CF0"/>
    <w:rsid w:val="00AF1E9B"/>
    <w:rsid w:val="00AF2FD8"/>
    <w:rsid w:val="00AF3023"/>
    <w:rsid w:val="00AF3234"/>
    <w:rsid w:val="00AF380E"/>
    <w:rsid w:val="00AF3AF1"/>
    <w:rsid w:val="00AF3B2C"/>
    <w:rsid w:val="00AF47D3"/>
    <w:rsid w:val="00AF5B95"/>
    <w:rsid w:val="00AF6A7B"/>
    <w:rsid w:val="00AF7B44"/>
    <w:rsid w:val="00B00711"/>
    <w:rsid w:val="00B0084B"/>
    <w:rsid w:val="00B00B63"/>
    <w:rsid w:val="00B00F90"/>
    <w:rsid w:val="00B0122F"/>
    <w:rsid w:val="00B016F5"/>
    <w:rsid w:val="00B018FF"/>
    <w:rsid w:val="00B019CA"/>
    <w:rsid w:val="00B020CA"/>
    <w:rsid w:val="00B0254E"/>
    <w:rsid w:val="00B02A29"/>
    <w:rsid w:val="00B02CE0"/>
    <w:rsid w:val="00B02FBA"/>
    <w:rsid w:val="00B03B42"/>
    <w:rsid w:val="00B049D9"/>
    <w:rsid w:val="00B04C46"/>
    <w:rsid w:val="00B04C7B"/>
    <w:rsid w:val="00B04DE8"/>
    <w:rsid w:val="00B051E5"/>
    <w:rsid w:val="00B054F9"/>
    <w:rsid w:val="00B05869"/>
    <w:rsid w:val="00B058E2"/>
    <w:rsid w:val="00B0677D"/>
    <w:rsid w:val="00B06883"/>
    <w:rsid w:val="00B0695A"/>
    <w:rsid w:val="00B06E05"/>
    <w:rsid w:val="00B07B27"/>
    <w:rsid w:val="00B07B68"/>
    <w:rsid w:val="00B100C4"/>
    <w:rsid w:val="00B102BF"/>
    <w:rsid w:val="00B10447"/>
    <w:rsid w:val="00B10C16"/>
    <w:rsid w:val="00B119CF"/>
    <w:rsid w:val="00B11A4A"/>
    <w:rsid w:val="00B11C2F"/>
    <w:rsid w:val="00B131EB"/>
    <w:rsid w:val="00B13222"/>
    <w:rsid w:val="00B1343F"/>
    <w:rsid w:val="00B13683"/>
    <w:rsid w:val="00B1452B"/>
    <w:rsid w:val="00B146DF"/>
    <w:rsid w:val="00B14785"/>
    <w:rsid w:val="00B14D80"/>
    <w:rsid w:val="00B14DE2"/>
    <w:rsid w:val="00B152BD"/>
    <w:rsid w:val="00B16353"/>
    <w:rsid w:val="00B16B85"/>
    <w:rsid w:val="00B2087D"/>
    <w:rsid w:val="00B209CB"/>
    <w:rsid w:val="00B20A6C"/>
    <w:rsid w:val="00B215CF"/>
    <w:rsid w:val="00B2166D"/>
    <w:rsid w:val="00B221B3"/>
    <w:rsid w:val="00B2254D"/>
    <w:rsid w:val="00B22905"/>
    <w:rsid w:val="00B2291B"/>
    <w:rsid w:val="00B229FC"/>
    <w:rsid w:val="00B22EB0"/>
    <w:rsid w:val="00B23F0A"/>
    <w:rsid w:val="00B249A6"/>
    <w:rsid w:val="00B25031"/>
    <w:rsid w:val="00B25248"/>
    <w:rsid w:val="00B26BAB"/>
    <w:rsid w:val="00B2727F"/>
    <w:rsid w:val="00B277B9"/>
    <w:rsid w:val="00B27AC6"/>
    <w:rsid w:val="00B27C58"/>
    <w:rsid w:val="00B27CC9"/>
    <w:rsid w:val="00B301DA"/>
    <w:rsid w:val="00B317F7"/>
    <w:rsid w:val="00B318B8"/>
    <w:rsid w:val="00B319C3"/>
    <w:rsid w:val="00B31A5A"/>
    <w:rsid w:val="00B3307A"/>
    <w:rsid w:val="00B336BD"/>
    <w:rsid w:val="00B33858"/>
    <w:rsid w:val="00B338E0"/>
    <w:rsid w:val="00B338FA"/>
    <w:rsid w:val="00B33AE9"/>
    <w:rsid w:val="00B3405D"/>
    <w:rsid w:val="00B3523B"/>
    <w:rsid w:val="00B35DF7"/>
    <w:rsid w:val="00B36EC4"/>
    <w:rsid w:val="00B375CB"/>
    <w:rsid w:val="00B41201"/>
    <w:rsid w:val="00B41E8E"/>
    <w:rsid w:val="00B42989"/>
    <w:rsid w:val="00B42D7C"/>
    <w:rsid w:val="00B43219"/>
    <w:rsid w:val="00B43C7D"/>
    <w:rsid w:val="00B43C96"/>
    <w:rsid w:val="00B43EAA"/>
    <w:rsid w:val="00B43F69"/>
    <w:rsid w:val="00B44419"/>
    <w:rsid w:val="00B44A8F"/>
    <w:rsid w:val="00B45D07"/>
    <w:rsid w:val="00B463F2"/>
    <w:rsid w:val="00B46C2D"/>
    <w:rsid w:val="00B4700D"/>
    <w:rsid w:val="00B470B5"/>
    <w:rsid w:val="00B47503"/>
    <w:rsid w:val="00B508B3"/>
    <w:rsid w:val="00B50DC5"/>
    <w:rsid w:val="00B50FB2"/>
    <w:rsid w:val="00B51A65"/>
    <w:rsid w:val="00B51DFA"/>
    <w:rsid w:val="00B53428"/>
    <w:rsid w:val="00B53D7B"/>
    <w:rsid w:val="00B544B9"/>
    <w:rsid w:val="00B54991"/>
    <w:rsid w:val="00B5588B"/>
    <w:rsid w:val="00B55E8C"/>
    <w:rsid w:val="00B55EB7"/>
    <w:rsid w:val="00B5620C"/>
    <w:rsid w:val="00B57A3E"/>
    <w:rsid w:val="00B57DE4"/>
    <w:rsid w:val="00B57F62"/>
    <w:rsid w:val="00B60177"/>
    <w:rsid w:val="00B60AA1"/>
    <w:rsid w:val="00B60E0D"/>
    <w:rsid w:val="00B6130B"/>
    <w:rsid w:val="00B62938"/>
    <w:rsid w:val="00B62BD3"/>
    <w:rsid w:val="00B63176"/>
    <w:rsid w:val="00B639BB"/>
    <w:rsid w:val="00B64B2B"/>
    <w:rsid w:val="00B651B9"/>
    <w:rsid w:val="00B65F8A"/>
    <w:rsid w:val="00B65F90"/>
    <w:rsid w:val="00B67071"/>
    <w:rsid w:val="00B674C6"/>
    <w:rsid w:val="00B67DE2"/>
    <w:rsid w:val="00B67E59"/>
    <w:rsid w:val="00B716F4"/>
    <w:rsid w:val="00B71EA5"/>
    <w:rsid w:val="00B7200C"/>
    <w:rsid w:val="00B725C5"/>
    <w:rsid w:val="00B72EFD"/>
    <w:rsid w:val="00B73B09"/>
    <w:rsid w:val="00B74E18"/>
    <w:rsid w:val="00B74EA3"/>
    <w:rsid w:val="00B75E06"/>
    <w:rsid w:val="00B76866"/>
    <w:rsid w:val="00B803B8"/>
    <w:rsid w:val="00B81535"/>
    <w:rsid w:val="00B815AF"/>
    <w:rsid w:val="00B816DA"/>
    <w:rsid w:val="00B81E06"/>
    <w:rsid w:val="00B81E15"/>
    <w:rsid w:val="00B81E66"/>
    <w:rsid w:val="00B82CED"/>
    <w:rsid w:val="00B82D03"/>
    <w:rsid w:val="00B83A01"/>
    <w:rsid w:val="00B8468E"/>
    <w:rsid w:val="00B8480A"/>
    <w:rsid w:val="00B849A7"/>
    <w:rsid w:val="00B851B8"/>
    <w:rsid w:val="00B872A4"/>
    <w:rsid w:val="00B8759A"/>
    <w:rsid w:val="00B87A3D"/>
    <w:rsid w:val="00B901EA"/>
    <w:rsid w:val="00B90423"/>
    <w:rsid w:val="00B90727"/>
    <w:rsid w:val="00B91749"/>
    <w:rsid w:val="00B923EA"/>
    <w:rsid w:val="00B928CD"/>
    <w:rsid w:val="00B92CA4"/>
    <w:rsid w:val="00B92CF2"/>
    <w:rsid w:val="00B92DB6"/>
    <w:rsid w:val="00B92DC1"/>
    <w:rsid w:val="00B930F0"/>
    <w:rsid w:val="00B93574"/>
    <w:rsid w:val="00B9394F"/>
    <w:rsid w:val="00B93BC1"/>
    <w:rsid w:val="00B96671"/>
    <w:rsid w:val="00B96A68"/>
    <w:rsid w:val="00B97427"/>
    <w:rsid w:val="00B97700"/>
    <w:rsid w:val="00B97FC8"/>
    <w:rsid w:val="00BA184D"/>
    <w:rsid w:val="00BA1874"/>
    <w:rsid w:val="00BA2899"/>
    <w:rsid w:val="00BA2E85"/>
    <w:rsid w:val="00BA3127"/>
    <w:rsid w:val="00BA3559"/>
    <w:rsid w:val="00BA3D6C"/>
    <w:rsid w:val="00BA4048"/>
    <w:rsid w:val="00BA421F"/>
    <w:rsid w:val="00BA496B"/>
    <w:rsid w:val="00BA606B"/>
    <w:rsid w:val="00BA72B9"/>
    <w:rsid w:val="00BA734D"/>
    <w:rsid w:val="00BA7FA5"/>
    <w:rsid w:val="00BB12FC"/>
    <w:rsid w:val="00BB189D"/>
    <w:rsid w:val="00BB267E"/>
    <w:rsid w:val="00BB2979"/>
    <w:rsid w:val="00BB2B81"/>
    <w:rsid w:val="00BB2D1D"/>
    <w:rsid w:val="00BB37BE"/>
    <w:rsid w:val="00BB3D94"/>
    <w:rsid w:val="00BB4720"/>
    <w:rsid w:val="00BB4B6D"/>
    <w:rsid w:val="00BB4BC7"/>
    <w:rsid w:val="00BB52C5"/>
    <w:rsid w:val="00BB60E8"/>
    <w:rsid w:val="00BB611C"/>
    <w:rsid w:val="00BB6120"/>
    <w:rsid w:val="00BB67A3"/>
    <w:rsid w:val="00BB7366"/>
    <w:rsid w:val="00BB737E"/>
    <w:rsid w:val="00BB7EE2"/>
    <w:rsid w:val="00BC07A3"/>
    <w:rsid w:val="00BC22BD"/>
    <w:rsid w:val="00BC28EA"/>
    <w:rsid w:val="00BC37F0"/>
    <w:rsid w:val="00BC3C7C"/>
    <w:rsid w:val="00BC4738"/>
    <w:rsid w:val="00BC562C"/>
    <w:rsid w:val="00BC589D"/>
    <w:rsid w:val="00BC5BC9"/>
    <w:rsid w:val="00BC69C2"/>
    <w:rsid w:val="00BC7C96"/>
    <w:rsid w:val="00BC7EB5"/>
    <w:rsid w:val="00BD0454"/>
    <w:rsid w:val="00BD064D"/>
    <w:rsid w:val="00BD10C9"/>
    <w:rsid w:val="00BD1246"/>
    <w:rsid w:val="00BD35BC"/>
    <w:rsid w:val="00BD3AA1"/>
    <w:rsid w:val="00BD3B1A"/>
    <w:rsid w:val="00BD3D18"/>
    <w:rsid w:val="00BD5332"/>
    <w:rsid w:val="00BD5593"/>
    <w:rsid w:val="00BD5A7B"/>
    <w:rsid w:val="00BD628F"/>
    <w:rsid w:val="00BD6598"/>
    <w:rsid w:val="00BD6A08"/>
    <w:rsid w:val="00BD6BC5"/>
    <w:rsid w:val="00BD6D27"/>
    <w:rsid w:val="00BD767B"/>
    <w:rsid w:val="00BD7C6C"/>
    <w:rsid w:val="00BD7F06"/>
    <w:rsid w:val="00BE02F4"/>
    <w:rsid w:val="00BE0361"/>
    <w:rsid w:val="00BE09F9"/>
    <w:rsid w:val="00BE121F"/>
    <w:rsid w:val="00BE179B"/>
    <w:rsid w:val="00BE1B69"/>
    <w:rsid w:val="00BE22A2"/>
    <w:rsid w:val="00BE2790"/>
    <w:rsid w:val="00BE2862"/>
    <w:rsid w:val="00BE2E8B"/>
    <w:rsid w:val="00BE341E"/>
    <w:rsid w:val="00BE4113"/>
    <w:rsid w:val="00BE4388"/>
    <w:rsid w:val="00BE47FF"/>
    <w:rsid w:val="00BE5FFE"/>
    <w:rsid w:val="00BE626E"/>
    <w:rsid w:val="00BE666C"/>
    <w:rsid w:val="00BE6A08"/>
    <w:rsid w:val="00BE7761"/>
    <w:rsid w:val="00BE77F8"/>
    <w:rsid w:val="00BE7C38"/>
    <w:rsid w:val="00BF06BC"/>
    <w:rsid w:val="00BF0B39"/>
    <w:rsid w:val="00BF0C32"/>
    <w:rsid w:val="00BF0CBB"/>
    <w:rsid w:val="00BF0D51"/>
    <w:rsid w:val="00BF1449"/>
    <w:rsid w:val="00BF1D08"/>
    <w:rsid w:val="00BF1FA1"/>
    <w:rsid w:val="00BF3A57"/>
    <w:rsid w:val="00BF3AE1"/>
    <w:rsid w:val="00BF3D15"/>
    <w:rsid w:val="00BF42B9"/>
    <w:rsid w:val="00BF4ABF"/>
    <w:rsid w:val="00BF54BF"/>
    <w:rsid w:val="00BF657A"/>
    <w:rsid w:val="00BF6E96"/>
    <w:rsid w:val="00BF6F5D"/>
    <w:rsid w:val="00BF75CE"/>
    <w:rsid w:val="00C00224"/>
    <w:rsid w:val="00C0032F"/>
    <w:rsid w:val="00C0090B"/>
    <w:rsid w:val="00C00B8B"/>
    <w:rsid w:val="00C00F2F"/>
    <w:rsid w:val="00C0239D"/>
    <w:rsid w:val="00C02614"/>
    <w:rsid w:val="00C02672"/>
    <w:rsid w:val="00C02B6A"/>
    <w:rsid w:val="00C02DB0"/>
    <w:rsid w:val="00C03894"/>
    <w:rsid w:val="00C039E1"/>
    <w:rsid w:val="00C04488"/>
    <w:rsid w:val="00C04945"/>
    <w:rsid w:val="00C04AB9"/>
    <w:rsid w:val="00C05007"/>
    <w:rsid w:val="00C069D7"/>
    <w:rsid w:val="00C07920"/>
    <w:rsid w:val="00C07E8E"/>
    <w:rsid w:val="00C11CD7"/>
    <w:rsid w:val="00C12C53"/>
    <w:rsid w:val="00C13078"/>
    <w:rsid w:val="00C13490"/>
    <w:rsid w:val="00C1522C"/>
    <w:rsid w:val="00C1557C"/>
    <w:rsid w:val="00C158BD"/>
    <w:rsid w:val="00C15D4C"/>
    <w:rsid w:val="00C16184"/>
    <w:rsid w:val="00C165A3"/>
    <w:rsid w:val="00C16BD4"/>
    <w:rsid w:val="00C17180"/>
    <w:rsid w:val="00C171E6"/>
    <w:rsid w:val="00C20CD0"/>
    <w:rsid w:val="00C21C45"/>
    <w:rsid w:val="00C21CE4"/>
    <w:rsid w:val="00C227E3"/>
    <w:rsid w:val="00C22902"/>
    <w:rsid w:val="00C23072"/>
    <w:rsid w:val="00C232DB"/>
    <w:rsid w:val="00C23640"/>
    <w:rsid w:val="00C237E8"/>
    <w:rsid w:val="00C23F46"/>
    <w:rsid w:val="00C24B90"/>
    <w:rsid w:val="00C24C66"/>
    <w:rsid w:val="00C2558E"/>
    <w:rsid w:val="00C26090"/>
    <w:rsid w:val="00C26261"/>
    <w:rsid w:val="00C27106"/>
    <w:rsid w:val="00C274D9"/>
    <w:rsid w:val="00C30DC1"/>
    <w:rsid w:val="00C32141"/>
    <w:rsid w:val="00C32F00"/>
    <w:rsid w:val="00C3338F"/>
    <w:rsid w:val="00C3371C"/>
    <w:rsid w:val="00C34AE1"/>
    <w:rsid w:val="00C34C27"/>
    <w:rsid w:val="00C3663A"/>
    <w:rsid w:val="00C370A0"/>
    <w:rsid w:val="00C379E5"/>
    <w:rsid w:val="00C37E9F"/>
    <w:rsid w:val="00C403CE"/>
    <w:rsid w:val="00C405E9"/>
    <w:rsid w:val="00C407FF"/>
    <w:rsid w:val="00C4088E"/>
    <w:rsid w:val="00C40AAA"/>
    <w:rsid w:val="00C40EFA"/>
    <w:rsid w:val="00C42346"/>
    <w:rsid w:val="00C42EDC"/>
    <w:rsid w:val="00C4312A"/>
    <w:rsid w:val="00C442C2"/>
    <w:rsid w:val="00C46273"/>
    <w:rsid w:val="00C463BF"/>
    <w:rsid w:val="00C46AA9"/>
    <w:rsid w:val="00C46BF8"/>
    <w:rsid w:val="00C46FD9"/>
    <w:rsid w:val="00C470E9"/>
    <w:rsid w:val="00C5194D"/>
    <w:rsid w:val="00C51F5D"/>
    <w:rsid w:val="00C5255C"/>
    <w:rsid w:val="00C526A0"/>
    <w:rsid w:val="00C53175"/>
    <w:rsid w:val="00C53EFB"/>
    <w:rsid w:val="00C541C7"/>
    <w:rsid w:val="00C5426D"/>
    <w:rsid w:val="00C550C5"/>
    <w:rsid w:val="00C55283"/>
    <w:rsid w:val="00C55462"/>
    <w:rsid w:val="00C55894"/>
    <w:rsid w:val="00C55D7B"/>
    <w:rsid w:val="00C56E34"/>
    <w:rsid w:val="00C5703A"/>
    <w:rsid w:val="00C5713E"/>
    <w:rsid w:val="00C573FE"/>
    <w:rsid w:val="00C57416"/>
    <w:rsid w:val="00C57A8C"/>
    <w:rsid w:val="00C57DDC"/>
    <w:rsid w:val="00C6117F"/>
    <w:rsid w:val="00C62281"/>
    <w:rsid w:val="00C63832"/>
    <w:rsid w:val="00C63B90"/>
    <w:rsid w:val="00C6493E"/>
    <w:rsid w:val="00C64C9C"/>
    <w:rsid w:val="00C656A7"/>
    <w:rsid w:val="00C65E5C"/>
    <w:rsid w:val="00C663D5"/>
    <w:rsid w:val="00C66CDF"/>
    <w:rsid w:val="00C66DCF"/>
    <w:rsid w:val="00C71033"/>
    <w:rsid w:val="00C71CC0"/>
    <w:rsid w:val="00C724D8"/>
    <w:rsid w:val="00C72A07"/>
    <w:rsid w:val="00C732BD"/>
    <w:rsid w:val="00C73311"/>
    <w:rsid w:val="00C73407"/>
    <w:rsid w:val="00C74257"/>
    <w:rsid w:val="00C74733"/>
    <w:rsid w:val="00C747E7"/>
    <w:rsid w:val="00C753B4"/>
    <w:rsid w:val="00C75428"/>
    <w:rsid w:val="00C75496"/>
    <w:rsid w:val="00C76464"/>
    <w:rsid w:val="00C77254"/>
    <w:rsid w:val="00C776F8"/>
    <w:rsid w:val="00C808D6"/>
    <w:rsid w:val="00C80C63"/>
    <w:rsid w:val="00C80F25"/>
    <w:rsid w:val="00C81FD2"/>
    <w:rsid w:val="00C8226A"/>
    <w:rsid w:val="00C82AED"/>
    <w:rsid w:val="00C82F82"/>
    <w:rsid w:val="00C8330A"/>
    <w:rsid w:val="00C83932"/>
    <w:rsid w:val="00C84293"/>
    <w:rsid w:val="00C855C6"/>
    <w:rsid w:val="00C856DC"/>
    <w:rsid w:val="00C85818"/>
    <w:rsid w:val="00C8769E"/>
    <w:rsid w:val="00C87810"/>
    <w:rsid w:val="00C901AC"/>
    <w:rsid w:val="00C905BB"/>
    <w:rsid w:val="00C9103E"/>
    <w:rsid w:val="00C91494"/>
    <w:rsid w:val="00C9176A"/>
    <w:rsid w:val="00C91E26"/>
    <w:rsid w:val="00C91F79"/>
    <w:rsid w:val="00C9263B"/>
    <w:rsid w:val="00C928CE"/>
    <w:rsid w:val="00C928F5"/>
    <w:rsid w:val="00C92BE2"/>
    <w:rsid w:val="00C92FE4"/>
    <w:rsid w:val="00C93924"/>
    <w:rsid w:val="00C93959"/>
    <w:rsid w:val="00C93DAB"/>
    <w:rsid w:val="00C94032"/>
    <w:rsid w:val="00C9498B"/>
    <w:rsid w:val="00C95388"/>
    <w:rsid w:val="00C95C30"/>
    <w:rsid w:val="00C95E1B"/>
    <w:rsid w:val="00C96A07"/>
    <w:rsid w:val="00C97090"/>
    <w:rsid w:val="00C974C5"/>
    <w:rsid w:val="00C97534"/>
    <w:rsid w:val="00C97648"/>
    <w:rsid w:val="00C977F3"/>
    <w:rsid w:val="00C97C93"/>
    <w:rsid w:val="00CA0C3E"/>
    <w:rsid w:val="00CA0FE4"/>
    <w:rsid w:val="00CA2DF2"/>
    <w:rsid w:val="00CA2E27"/>
    <w:rsid w:val="00CA312F"/>
    <w:rsid w:val="00CA39BF"/>
    <w:rsid w:val="00CA4017"/>
    <w:rsid w:val="00CA4F68"/>
    <w:rsid w:val="00CA6272"/>
    <w:rsid w:val="00CA650A"/>
    <w:rsid w:val="00CA684B"/>
    <w:rsid w:val="00CA6EFD"/>
    <w:rsid w:val="00CA7B73"/>
    <w:rsid w:val="00CB0C4F"/>
    <w:rsid w:val="00CB28B1"/>
    <w:rsid w:val="00CB2DF4"/>
    <w:rsid w:val="00CB364A"/>
    <w:rsid w:val="00CB3CA4"/>
    <w:rsid w:val="00CB4595"/>
    <w:rsid w:val="00CB50CF"/>
    <w:rsid w:val="00CB57FA"/>
    <w:rsid w:val="00CB5C03"/>
    <w:rsid w:val="00CB5CFD"/>
    <w:rsid w:val="00CB5F29"/>
    <w:rsid w:val="00CB64C4"/>
    <w:rsid w:val="00CB6634"/>
    <w:rsid w:val="00CB66C2"/>
    <w:rsid w:val="00CB6730"/>
    <w:rsid w:val="00CB76A5"/>
    <w:rsid w:val="00CB7871"/>
    <w:rsid w:val="00CC02CC"/>
    <w:rsid w:val="00CC04CB"/>
    <w:rsid w:val="00CC0E62"/>
    <w:rsid w:val="00CC0E82"/>
    <w:rsid w:val="00CC12B6"/>
    <w:rsid w:val="00CC1554"/>
    <w:rsid w:val="00CC209B"/>
    <w:rsid w:val="00CC21C3"/>
    <w:rsid w:val="00CC28D9"/>
    <w:rsid w:val="00CC28FD"/>
    <w:rsid w:val="00CC3483"/>
    <w:rsid w:val="00CC36BC"/>
    <w:rsid w:val="00CC3930"/>
    <w:rsid w:val="00CC4F75"/>
    <w:rsid w:val="00CC531C"/>
    <w:rsid w:val="00CC5978"/>
    <w:rsid w:val="00CC67AB"/>
    <w:rsid w:val="00CC70B6"/>
    <w:rsid w:val="00CC7B5A"/>
    <w:rsid w:val="00CC7DA1"/>
    <w:rsid w:val="00CD0C74"/>
    <w:rsid w:val="00CD0DFF"/>
    <w:rsid w:val="00CD10B4"/>
    <w:rsid w:val="00CD12C8"/>
    <w:rsid w:val="00CD18E9"/>
    <w:rsid w:val="00CD1C25"/>
    <w:rsid w:val="00CD1EF4"/>
    <w:rsid w:val="00CD23AB"/>
    <w:rsid w:val="00CD273F"/>
    <w:rsid w:val="00CD2788"/>
    <w:rsid w:val="00CD32E8"/>
    <w:rsid w:val="00CD3539"/>
    <w:rsid w:val="00CD3DBA"/>
    <w:rsid w:val="00CD4BBB"/>
    <w:rsid w:val="00CD603C"/>
    <w:rsid w:val="00CD60EC"/>
    <w:rsid w:val="00CD63C6"/>
    <w:rsid w:val="00CD6AA5"/>
    <w:rsid w:val="00CD73D1"/>
    <w:rsid w:val="00CD7829"/>
    <w:rsid w:val="00CE11B5"/>
    <w:rsid w:val="00CE362D"/>
    <w:rsid w:val="00CE39BF"/>
    <w:rsid w:val="00CE4E1E"/>
    <w:rsid w:val="00CE51BC"/>
    <w:rsid w:val="00CE6431"/>
    <w:rsid w:val="00CE7723"/>
    <w:rsid w:val="00CE799D"/>
    <w:rsid w:val="00CE7E98"/>
    <w:rsid w:val="00CF0361"/>
    <w:rsid w:val="00CF04BD"/>
    <w:rsid w:val="00CF17B9"/>
    <w:rsid w:val="00CF2EF0"/>
    <w:rsid w:val="00CF3098"/>
    <w:rsid w:val="00CF34DD"/>
    <w:rsid w:val="00CF4151"/>
    <w:rsid w:val="00CF4A19"/>
    <w:rsid w:val="00CF4D26"/>
    <w:rsid w:val="00CF5081"/>
    <w:rsid w:val="00CF56BB"/>
    <w:rsid w:val="00CF67FE"/>
    <w:rsid w:val="00CF6878"/>
    <w:rsid w:val="00CF69EE"/>
    <w:rsid w:val="00CF7008"/>
    <w:rsid w:val="00CF7CEB"/>
    <w:rsid w:val="00CF7E46"/>
    <w:rsid w:val="00D00488"/>
    <w:rsid w:val="00D01120"/>
    <w:rsid w:val="00D01432"/>
    <w:rsid w:val="00D01C9A"/>
    <w:rsid w:val="00D0227B"/>
    <w:rsid w:val="00D02D63"/>
    <w:rsid w:val="00D02F0B"/>
    <w:rsid w:val="00D03CE1"/>
    <w:rsid w:val="00D03F05"/>
    <w:rsid w:val="00D047ED"/>
    <w:rsid w:val="00D048E7"/>
    <w:rsid w:val="00D049C7"/>
    <w:rsid w:val="00D04A46"/>
    <w:rsid w:val="00D04B67"/>
    <w:rsid w:val="00D055B7"/>
    <w:rsid w:val="00D06654"/>
    <w:rsid w:val="00D07585"/>
    <w:rsid w:val="00D07FA2"/>
    <w:rsid w:val="00D102C0"/>
    <w:rsid w:val="00D10B66"/>
    <w:rsid w:val="00D118BD"/>
    <w:rsid w:val="00D11A7B"/>
    <w:rsid w:val="00D12411"/>
    <w:rsid w:val="00D12691"/>
    <w:rsid w:val="00D126F4"/>
    <w:rsid w:val="00D12AA8"/>
    <w:rsid w:val="00D13068"/>
    <w:rsid w:val="00D14130"/>
    <w:rsid w:val="00D14134"/>
    <w:rsid w:val="00D15289"/>
    <w:rsid w:val="00D155B4"/>
    <w:rsid w:val="00D15974"/>
    <w:rsid w:val="00D15D49"/>
    <w:rsid w:val="00D15E77"/>
    <w:rsid w:val="00D16A17"/>
    <w:rsid w:val="00D17FFC"/>
    <w:rsid w:val="00D21249"/>
    <w:rsid w:val="00D2155B"/>
    <w:rsid w:val="00D216C1"/>
    <w:rsid w:val="00D2236E"/>
    <w:rsid w:val="00D22628"/>
    <w:rsid w:val="00D227F9"/>
    <w:rsid w:val="00D23EC1"/>
    <w:rsid w:val="00D24206"/>
    <w:rsid w:val="00D24316"/>
    <w:rsid w:val="00D25DA4"/>
    <w:rsid w:val="00D25DCC"/>
    <w:rsid w:val="00D26A3D"/>
    <w:rsid w:val="00D27112"/>
    <w:rsid w:val="00D272DB"/>
    <w:rsid w:val="00D31131"/>
    <w:rsid w:val="00D31F06"/>
    <w:rsid w:val="00D3238E"/>
    <w:rsid w:val="00D32A00"/>
    <w:rsid w:val="00D32C1E"/>
    <w:rsid w:val="00D32D58"/>
    <w:rsid w:val="00D32E06"/>
    <w:rsid w:val="00D33464"/>
    <w:rsid w:val="00D33800"/>
    <w:rsid w:val="00D33CFF"/>
    <w:rsid w:val="00D33E7C"/>
    <w:rsid w:val="00D35269"/>
    <w:rsid w:val="00D361DA"/>
    <w:rsid w:val="00D37046"/>
    <w:rsid w:val="00D370A9"/>
    <w:rsid w:val="00D37301"/>
    <w:rsid w:val="00D37ACD"/>
    <w:rsid w:val="00D403F7"/>
    <w:rsid w:val="00D405A1"/>
    <w:rsid w:val="00D40AB3"/>
    <w:rsid w:val="00D411EA"/>
    <w:rsid w:val="00D415F1"/>
    <w:rsid w:val="00D417EF"/>
    <w:rsid w:val="00D420B3"/>
    <w:rsid w:val="00D43148"/>
    <w:rsid w:val="00D43191"/>
    <w:rsid w:val="00D43414"/>
    <w:rsid w:val="00D43590"/>
    <w:rsid w:val="00D43DEB"/>
    <w:rsid w:val="00D454A1"/>
    <w:rsid w:val="00D457F8"/>
    <w:rsid w:val="00D46145"/>
    <w:rsid w:val="00D4625B"/>
    <w:rsid w:val="00D4686E"/>
    <w:rsid w:val="00D47E72"/>
    <w:rsid w:val="00D500E8"/>
    <w:rsid w:val="00D5070D"/>
    <w:rsid w:val="00D5263E"/>
    <w:rsid w:val="00D52B5E"/>
    <w:rsid w:val="00D53521"/>
    <w:rsid w:val="00D5387C"/>
    <w:rsid w:val="00D53AC1"/>
    <w:rsid w:val="00D53ED1"/>
    <w:rsid w:val="00D540C2"/>
    <w:rsid w:val="00D54A14"/>
    <w:rsid w:val="00D5501B"/>
    <w:rsid w:val="00D574D2"/>
    <w:rsid w:val="00D576CB"/>
    <w:rsid w:val="00D57718"/>
    <w:rsid w:val="00D57B97"/>
    <w:rsid w:val="00D60582"/>
    <w:rsid w:val="00D61884"/>
    <w:rsid w:val="00D62C64"/>
    <w:rsid w:val="00D62FED"/>
    <w:rsid w:val="00D6352E"/>
    <w:rsid w:val="00D6355A"/>
    <w:rsid w:val="00D63B21"/>
    <w:rsid w:val="00D63BEC"/>
    <w:rsid w:val="00D643D3"/>
    <w:rsid w:val="00D648CE"/>
    <w:rsid w:val="00D65B7A"/>
    <w:rsid w:val="00D66071"/>
    <w:rsid w:val="00D660A9"/>
    <w:rsid w:val="00D6675C"/>
    <w:rsid w:val="00D668B2"/>
    <w:rsid w:val="00D67049"/>
    <w:rsid w:val="00D6710D"/>
    <w:rsid w:val="00D671DB"/>
    <w:rsid w:val="00D700B9"/>
    <w:rsid w:val="00D703B0"/>
    <w:rsid w:val="00D718D9"/>
    <w:rsid w:val="00D73323"/>
    <w:rsid w:val="00D73AAF"/>
    <w:rsid w:val="00D73C72"/>
    <w:rsid w:val="00D755F5"/>
    <w:rsid w:val="00D7576F"/>
    <w:rsid w:val="00D75B82"/>
    <w:rsid w:val="00D75D3E"/>
    <w:rsid w:val="00D762FA"/>
    <w:rsid w:val="00D77037"/>
    <w:rsid w:val="00D77B42"/>
    <w:rsid w:val="00D803CC"/>
    <w:rsid w:val="00D806BB"/>
    <w:rsid w:val="00D807B3"/>
    <w:rsid w:val="00D817E3"/>
    <w:rsid w:val="00D82334"/>
    <w:rsid w:val="00D8369D"/>
    <w:rsid w:val="00D83AD3"/>
    <w:rsid w:val="00D841CA"/>
    <w:rsid w:val="00D84908"/>
    <w:rsid w:val="00D84919"/>
    <w:rsid w:val="00D84EB9"/>
    <w:rsid w:val="00D85746"/>
    <w:rsid w:val="00D8694F"/>
    <w:rsid w:val="00D86B98"/>
    <w:rsid w:val="00D86BC2"/>
    <w:rsid w:val="00D87AED"/>
    <w:rsid w:val="00D87B53"/>
    <w:rsid w:val="00D92865"/>
    <w:rsid w:val="00D928B2"/>
    <w:rsid w:val="00D9321B"/>
    <w:rsid w:val="00D936D9"/>
    <w:rsid w:val="00D938B1"/>
    <w:rsid w:val="00D93D14"/>
    <w:rsid w:val="00D93F1C"/>
    <w:rsid w:val="00D93F4C"/>
    <w:rsid w:val="00D948B6"/>
    <w:rsid w:val="00D94AE5"/>
    <w:rsid w:val="00D94DA1"/>
    <w:rsid w:val="00D94E84"/>
    <w:rsid w:val="00D952CB"/>
    <w:rsid w:val="00D95392"/>
    <w:rsid w:val="00D955AE"/>
    <w:rsid w:val="00D95604"/>
    <w:rsid w:val="00D9565B"/>
    <w:rsid w:val="00D9566F"/>
    <w:rsid w:val="00D961D2"/>
    <w:rsid w:val="00D965ED"/>
    <w:rsid w:val="00D96F9D"/>
    <w:rsid w:val="00D97A0A"/>
    <w:rsid w:val="00DA0273"/>
    <w:rsid w:val="00DA0595"/>
    <w:rsid w:val="00DA09E4"/>
    <w:rsid w:val="00DA147F"/>
    <w:rsid w:val="00DA18A0"/>
    <w:rsid w:val="00DA3568"/>
    <w:rsid w:val="00DA38AC"/>
    <w:rsid w:val="00DA39E0"/>
    <w:rsid w:val="00DA4395"/>
    <w:rsid w:val="00DA468B"/>
    <w:rsid w:val="00DA4EBD"/>
    <w:rsid w:val="00DA50F6"/>
    <w:rsid w:val="00DA5379"/>
    <w:rsid w:val="00DA623C"/>
    <w:rsid w:val="00DA6762"/>
    <w:rsid w:val="00DA6B0D"/>
    <w:rsid w:val="00DA6CBE"/>
    <w:rsid w:val="00DA7EEA"/>
    <w:rsid w:val="00DB08B4"/>
    <w:rsid w:val="00DB1A34"/>
    <w:rsid w:val="00DB1F0A"/>
    <w:rsid w:val="00DB2154"/>
    <w:rsid w:val="00DB22DC"/>
    <w:rsid w:val="00DB272D"/>
    <w:rsid w:val="00DB27E3"/>
    <w:rsid w:val="00DB2CEF"/>
    <w:rsid w:val="00DB30E3"/>
    <w:rsid w:val="00DB361D"/>
    <w:rsid w:val="00DB4087"/>
    <w:rsid w:val="00DB4BC3"/>
    <w:rsid w:val="00DB4FF2"/>
    <w:rsid w:val="00DB503F"/>
    <w:rsid w:val="00DB564F"/>
    <w:rsid w:val="00DB57DE"/>
    <w:rsid w:val="00DB684A"/>
    <w:rsid w:val="00DB7559"/>
    <w:rsid w:val="00DB78BB"/>
    <w:rsid w:val="00DB78D9"/>
    <w:rsid w:val="00DB7A69"/>
    <w:rsid w:val="00DC015D"/>
    <w:rsid w:val="00DC0A81"/>
    <w:rsid w:val="00DC0D14"/>
    <w:rsid w:val="00DC1450"/>
    <w:rsid w:val="00DC153E"/>
    <w:rsid w:val="00DC16EC"/>
    <w:rsid w:val="00DC2D64"/>
    <w:rsid w:val="00DC44CA"/>
    <w:rsid w:val="00DC4F1A"/>
    <w:rsid w:val="00DC5566"/>
    <w:rsid w:val="00DC55F1"/>
    <w:rsid w:val="00DC5637"/>
    <w:rsid w:val="00DC57E7"/>
    <w:rsid w:val="00DC5F5C"/>
    <w:rsid w:val="00DC62D4"/>
    <w:rsid w:val="00DC6349"/>
    <w:rsid w:val="00DC643B"/>
    <w:rsid w:val="00DC7616"/>
    <w:rsid w:val="00DC77C5"/>
    <w:rsid w:val="00DC7854"/>
    <w:rsid w:val="00DC7A09"/>
    <w:rsid w:val="00DC7C5C"/>
    <w:rsid w:val="00DC7D38"/>
    <w:rsid w:val="00DD0AC6"/>
    <w:rsid w:val="00DD20B2"/>
    <w:rsid w:val="00DD26D7"/>
    <w:rsid w:val="00DD2B74"/>
    <w:rsid w:val="00DD3241"/>
    <w:rsid w:val="00DD39D7"/>
    <w:rsid w:val="00DD3CA2"/>
    <w:rsid w:val="00DD3CE9"/>
    <w:rsid w:val="00DD4A74"/>
    <w:rsid w:val="00DD4EDB"/>
    <w:rsid w:val="00DD5466"/>
    <w:rsid w:val="00DD5906"/>
    <w:rsid w:val="00DD5E57"/>
    <w:rsid w:val="00DD603E"/>
    <w:rsid w:val="00DD6318"/>
    <w:rsid w:val="00DD7E59"/>
    <w:rsid w:val="00DE0210"/>
    <w:rsid w:val="00DE0642"/>
    <w:rsid w:val="00DE140A"/>
    <w:rsid w:val="00DE2E60"/>
    <w:rsid w:val="00DE2FE8"/>
    <w:rsid w:val="00DE356A"/>
    <w:rsid w:val="00DE3E2B"/>
    <w:rsid w:val="00DE3EC0"/>
    <w:rsid w:val="00DE44B7"/>
    <w:rsid w:val="00DE472F"/>
    <w:rsid w:val="00DE57C3"/>
    <w:rsid w:val="00DE5833"/>
    <w:rsid w:val="00DE5AF4"/>
    <w:rsid w:val="00DE6852"/>
    <w:rsid w:val="00DE68E8"/>
    <w:rsid w:val="00DE7288"/>
    <w:rsid w:val="00DE7564"/>
    <w:rsid w:val="00DF1072"/>
    <w:rsid w:val="00DF15B6"/>
    <w:rsid w:val="00DF1C91"/>
    <w:rsid w:val="00DF22EF"/>
    <w:rsid w:val="00DF335F"/>
    <w:rsid w:val="00DF35DF"/>
    <w:rsid w:val="00DF3971"/>
    <w:rsid w:val="00DF3A7C"/>
    <w:rsid w:val="00DF3F23"/>
    <w:rsid w:val="00DF4101"/>
    <w:rsid w:val="00DF5186"/>
    <w:rsid w:val="00DF5201"/>
    <w:rsid w:val="00DF52F1"/>
    <w:rsid w:val="00DF620C"/>
    <w:rsid w:val="00DF6361"/>
    <w:rsid w:val="00DF72FA"/>
    <w:rsid w:val="00E005B0"/>
    <w:rsid w:val="00E00B14"/>
    <w:rsid w:val="00E01260"/>
    <w:rsid w:val="00E040B4"/>
    <w:rsid w:val="00E04373"/>
    <w:rsid w:val="00E04788"/>
    <w:rsid w:val="00E04F13"/>
    <w:rsid w:val="00E06B11"/>
    <w:rsid w:val="00E078FE"/>
    <w:rsid w:val="00E07917"/>
    <w:rsid w:val="00E07BBC"/>
    <w:rsid w:val="00E107FC"/>
    <w:rsid w:val="00E111EE"/>
    <w:rsid w:val="00E1142D"/>
    <w:rsid w:val="00E11FB5"/>
    <w:rsid w:val="00E12CC2"/>
    <w:rsid w:val="00E135EC"/>
    <w:rsid w:val="00E1385E"/>
    <w:rsid w:val="00E13C3A"/>
    <w:rsid w:val="00E13CAA"/>
    <w:rsid w:val="00E14FE4"/>
    <w:rsid w:val="00E156D5"/>
    <w:rsid w:val="00E1589B"/>
    <w:rsid w:val="00E15E15"/>
    <w:rsid w:val="00E16675"/>
    <w:rsid w:val="00E16A14"/>
    <w:rsid w:val="00E16A69"/>
    <w:rsid w:val="00E17887"/>
    <w:rsid w:val="00E17E2F"/>
    <w:rsid w:val="00E20CA1"/>
    <w:rsid w:val="00E21D64"/>
    <w:rsid w:val="00E2200E"/>
    <w:rsid w:val="00E22E48"/>
    <w:rsid w:val="00E23042"/>
    <w:rsid w:val="00E2417F"/>
    <w:rsid w:val="00E241B9"/>
    <w:rsid w:val="00E24A37"/>
    <w:rsid w:val="00E24E8C"/>
    <w:rsid w:val="00E254CE"/>
    <w:rsid w:val="00E259C4"/>
    <w:rsid w:val="00E260B1"/>
    <w:rsid w:val="00E26508"/>
    <w:rsid w:val="00E26EA1"/>
    <w:rsid w:val="00E2754A"/>
    <w:rsid w:val="00E27D37"/>
    <w:rsid w:val="00E313E2"/>
    <w:rsid w:val="00E3183D"/>
    <w:rsid w:val="00E323FE"/>
    <w:rsid w:val="00E328C0"/>
    <w:rsid w:val="00E33161"/>
    <w:rsid w:val="00E3357A"/>
    <w:rsid w:val="00E339CC"/>
    <w:rsid w:val="00E33C81"/>
    <w:rsid w:val="00E34675"/>
    <w:rsid w:val="00E34B40"/>
    <w:rsid w:val="00E35022"/>
    <w:rsid w:val="00E35052"/>
    <w:rsid w:val="00E351B8"/>
    <w:rsid w:val="00E3620F"/>
    <w:rsid w:val="00E36FEB"/>
    <w:rsid w:val="00E3700A"/>
    <w:rsid w:val="00E37C07"/>
    <w:rsid w:val="00E41A63"/>
    <w:rsid w:val="00E42A12"/>
    <w:rsid w:val="00E42F0D"/>
    <w:rsid w:val="00E42FF6"/>
    <w:rsid w:val="00E4340C"/>
    <w:rsid w:val="00E439EE"/>
    <w:rsid w:val="00E43AFD"/>
    <w:rsid w:val="00E43B9A"/>
    <w:rsid w:val="00E43FD8"/>
    <w:rsid w:val="00E448A4"/>
    <w:rsid w:val="00E449E1"/>
    <w:rsid w:val="00E45546"/>
    <w:rsid w:val="00E4633A"/>
    <w:rsid w:val="00E46C7D"/>
    <w:rsid w:val="00E47004"/>
    <w:rsid w:val="00E471C7"/>
    <w:rsid w:val="00E47DC3"/>
    <w:rsid w:val="00E5094F"/>
    <w:rsid w:val="00E50AF1"/>
    <w:rsid w:val="00E50DBB"/>
    <w:rsid w:val="00E5166C"/>
    <w:rsid w:val="00E51BFF"/>
    <w:rsid w:val="00E525FD"/>
    <w:rsid w:val="00E5262A"/>
    <w:rsid w:val="00E5297F"/>
    <w:rsid w:val="00E53A13"/>
    <w:rsid w:val="00E545DA"/>
    <w:rsid w:val="00E55790"/>
    <w:rsid w:val="00E56982"/>
    <w:rsid w:val="00E57148"/>
    <w:rsid w:val="00E5737C"/>
    <w:rsid w:val="00E57E42"/>
    <w:rsid w:val="00E60588"/>
    <w:rsid w:val="00E6088B"/>
    <w:rsid w:val="00E60C19"/>
    <w:rsid w:val="00E611B0"/>
    <w:rsid w:val="00E611BA"/>
    <w:rsid w:val="00E618B6"/>
    <w:rsid w:val="00E61BF9"/>
    <w:rsid w:val="00E61DFF"/>
    <w:rsid w:val="00E624C3"/>
    <w:rsid w:val="00E62860"/>
    <w:rsid w:val="00E63407"/>
    <w:rsid w:val="00E64040"/>
    <w:rsid w:val="00E647DF"/>
    <w:rsid w:val="00E64BDB"/>
    <w:rsid w:val="00E650D1"/>
    <w:rsid w:val="00E654E6"/>
    <w:rsid w:val="00E671CB"/>
    <w:rsid w:val="00E678F7"/>
    <w:rsid w:val="00E67AE0"/>
    <w:rsid w:val="00E70871"/>
    <w:rsid w:val="00E70DB3"/>
    <w:rsid w:val="00E710B3"/>
    <w:rsid w:val="00E71676"/>
    <w:rsid w:val="00E71B03"/>
    <w:rsid w:val="00E72617"/>
    <w:rsid w:val="00E7273E"/>
    <w:rsid w:val="00E73944"/>
    <w:rsid w:val="00E73C1A"/>
    <w:rsid w:val="00E73DCD"/>
    <w:rsid w:val="00E74BD2"/>
    <w:rsid w:val="00E74F8C"/>
    <w:rsid w:val="00E753A5"/>
    <w:rsid w:val="00E75726"/>
    <w:rsid w:val="00E75C18"/>
    <w:rsid w:val="00E7635F"/>
    <w:rsid w:val="00E765C1"/>
    <w:rsid w:val="00E76716"/>
    <w:rsid w:val="00E7678C"/>
    <w:rsid w:val="00E76BF4"/>
    <w:rsid w:val="00E76BF8"/>
    <w:rsid w:val="00E76C21"/>
    <w:rsid w:val="00E777BE"/>
    <w:rsid w:val="00E77870"/>
    <w:rsid w:val="00E77B0D"/>
    <w:rsid w:val="00E77C80"/>
    <w:rsid w:val="00E77D78"/>
    <w:rsid w:val="00E77DCE"/>
    <w:rsid w:val="00E77E54"/>
    <w:rsid w:val="00E77F3F"/>
    <w:rsid w:val="00E80E25"/>
    <w:rsid w:val="00E815D5"/>
    <w:rsid w:val="00E81FEF"/>
    <w:rsid w:val="00E832CE"/>
    <w:rsid w:val="00E83BE4"/>
    <w:rsid w:val="00E83D39"/>
    <w:rsid w:val="00E849CC"/>
    <w:rsid w:val="00E85310"/>
    <w:rsid w:val="00E854B8"/>
    <w:rsid w:val="00E85C89"/>
    <w:rsid w:val="00E86482"/>
    <w:rsid w:val="00E86EA2"/>
    <w:rsid w:val="00E873E7"/>
    <w:rsid w:val="00E876ED"/>
    <w:rsid w:val="00E90024"/>
    <w:rsid w:val="00E90C57"/>
    <w:rsid w:val="00E91372"/>
    <w:rsid w:val="00E91445"/>
    <w:rsid w:val="00E91B1D"/>
    <w:rsid w:val="00E92B07"/>
    <w:rsid w:val="00E94080"/>
    <w:rsid w:val="00E9431B"/>
    <w:rsid w:val="00E944DE"/>
    <w:rsid w:val="00E94912"/>
    <w:rsid w:val="00E9510B"/>
    <w:rsid w:val="00E9540A"/>
    <w:rsid w:val="00E9580B"/>
    <w:rsid w:val="00E959D3"/>
    <w:rsid w:val="00E959DE"/>
    <w:rsid w:val="00E95CE5"/>
    <w:rsid w:val="00E95E1B"/>
    <w:rsid w:val="00E9750A"/>
    <w:rsid w:val="00EA02B8"/>
    <w:rsid w:val="00EA0760"/>
    <w:rsid w:val="00EA0B03"/>
    <w:rsid w:val="00EA0C01"/>
    <w:rsid w:val="00EA0CB2"/>
    <w:rsid w:val="00EA16A8"/>
    <w:rsid w:val="00EA1B6F"/>
    <w:rsid w:val="00EA22FB"/>
    <w:rsid w:val="00EA2609"/>
    <w:rsid w:val="00EA277E"/>
    <w:rsid w:val="00EA3571"/>
    <w:rsid w:val="00EA3687"/>
    <w:rsid w:val="00EA3847"/>
    <w:rsid w:val="00EA3D61"/>
    <w:rsid w:val="00EA3EF9"/>
    <w:rsid w:val="00EA4069"/>
    <w:rsid w:val="00EA40DB"/>
    <w:rsid w:val="00EA4213"/>
    <w:rsid w:val="00EA48B2"/>
    <w:rsid w:val="00EA4D96"/>
    <w:rsid w:val="00EA4DB4"/>
    <w:rsid w:val="00EA6023"/>
    <w:rsid w:val="00EB000B"/>
    <w:rsid w:val="00EB00D2"/>
    <w:rsid w:val="00EB0790"/>
    <w:rsid w:val="00EB0DD6"/>
    <w:rsid w:val="00EB1115"/>
    <w:rsid w:val="00EB128A"/>
    <w:rsid w:val="00EB1335"/>
    <w:rsid w:val="00EB1C76"/>
    <w:rsid w:val="00EB1DDC"/>
    <w:rsid w:val="00EB2223"/>
    <w:rsid w:val="00EB297F"/>
    <w:rsid w:val="00EB2A34"/>
    <w:rsid w:val="00EB2E6A"/>
    <w:rsid w:val="00EB2F77"/>
    <w:rsid w:val="00EB31A8"/>
    <w:rsid w:val="00EB364F"/>
    <w:rsid w:val="00EB37FF"/>
    <w:rsid w:val="00EB3A7D"/>
    <w:rsid w:val="00EB467A"/>
    <w:rsid w:val="00EB4CF0"/>
    <w:rsid w:val="00EB5D38"/>
    <w:rsid w:val="00EB67EA"/>
    <w:rsid w:val="00EB710F"/>
    <w:rsid w:val="00EB7716"/>
    <w:rsid w:val="00EB7BB3"/>
    <w:rsid w:val="00EB7D88"/>
    <w:rsid w:val="00EB7F91"/>
    <w:rsid w:val="00EC0BFD"/>
    <w:rsid w:val="00EC13F2"/>
    <w:rsid w:val="00EC1986"/>
    <w:rsid w:val="00EC1C33"/>
    <w:rsid w:val="00EC28EA"/>
    <w:rsid w:val="00EC3036"/>
    <w:rsid w:val="00EC47B3"/>
    <w:rsid w:val="00EC4B0E"/>
    <w:rsid w:val="00EC4B5A"/>
    <w:rsid w:val="00EC510A"/>
    <w:rsid w:val="00EC523D"/>
    <w:rsid w:val="00EC5349"/>
    <w:rsid w:val="00EC6222"/>
    <w:rsid w:val="00EC6978"/>
    <w:rsid w:val="00EC6CC6"/>
    <w:rsid w:val="00EC6E67"/>
    <w:rsid w:val="00EC773D"/>
    <w:rsid w:val="00EC7B2F"/>
    <w:rsid w:val="00ED0249"/>
    <w:rsid w:val="00ED036B"/>
    <w:rsid w:val="00ED037A"/>
    <w:rsid w:val="00ED04C0"/>
    <w:rsid w:val="00ED0DBD"/>
    <w:rsid w:val="00ED14CF"/>
    <w:rsid w:val="00ED1C77"/>
    <w:rsid w:val="00ED2180"/>
    <w:rsid w:val="00ED3B36"/>
    <w:rsid w:val="00ED443E"/>
    <w:rsid w:val="00ED49D1"/>
    <w:rsid w:val="00ED518C"/>
    <w:rsid w:val="00ED5B43"/>
    <w:rsid w:val="00ED5D4F"/>
    <w:rsid w:val="00ED68A7"/>
    <w:rsid w:val="00ED74AC"/>
    <w:rsid w:val="00EE010E"/>
    <w:rsid w:val="00EE049A"/>
    <w:rsid w:val="00EE15A2"/>
    <w:rsid w:val="00EE1CB3"/>
    <w:rsid w:val="00EE1CD4"/>
    <w:rsid w:val="00EE2370"/>
    <w:rsid w:val="00EE2412"/>
    <w:rsid w:val="00EE25B2"/>
    <w:rsid w:val="00EE2E68"/>
    <w:rsid w:val="00EE3EB3"/>
    <w:rsid w:val="00EE3F46"/>
    <w:rsid w:val="00EE44C3"/>
    <w:rsid w:val="00EE4D14"/>
    <w:rsid w:val="00EE4F2A"/>
    <w:rsid w:val="00EE5D6F"/>
    <w:rsid w:val="00EE5ECE"/>
    <w:rsid w:val="00EE64A3"/>
    <w:rsid w:val="00EE67F4"/>
    <w:rsid w:val="00EE6E94"/>
    <w:rsid w:val="00EE72FD"/>
    <w:rsid w:val="00EF046D"/>
    <w:rsid w:val="00EF07D9"/>
    <w:rsid w:val="00EF0ED6"/>
    <w:rsid w:val="00EF130B"/>
    <w:rsid w:val="00EF1F6B"/>
    <w:rsid w:val="00EF3863"/>
    <w:rsid w:val="00EF39D0"/>
    <w:rsid w:val="00EF3FA9"/>
    <w:rsid w:val="00EF5C15"/>
    <w:rsid w:val="00EF66E9"/>
    <w:rsid w:val="00EF6810"/>
    <w:rsid w:val="00F0035B"/>
    <w:rsid w:val="00F00A68"/>
    <w:rsid w:val="00F01708"/>
    <w:rsid w:val="00F01BB3"/>
    <w:rsid w:val="00F02971"/>
    <w:rsid w:val="00F0298C"/>
    <w:rsid w:val="00F03281"/>
    <w:rsid w:val="00F03379"/>
    <w:rsid w:val="00F03423"/>
    <w:rsid w:val="00F04685"/>
    <w:rsid w:val="00F0474F"/>
    <w:rsid w:val="00F05E23"/>
    <w:rsid w:val="00F05F03"/>
    <w:rsid w:val="00F0606B"/>
    <w:rsid w:val="00F06A1A"/>
    <w:rsid w:val="00F06AEA"/>
    <w:rsid w:val="00F06ED9"/>
    <w:rsid w:val="00F071F7"/>
    <w:rsid w:val="00F07F51"/>
    <w:rsid w:val="00F101AE"/>
    <w:rsid w:val="00F10546"/>
    <w:rsid w:val="00F1065B"/>
    <w:rsid w:val="00F11B88"/>
    <w:rsid w:val="00F127AE"/>
    <w:rsid w:val="00F12BB0"/>
    <w:rsid w:val="00F12D54"/>
    <w:rsid w:val="00F12F10"/>
    <w:rsid w:val="00F13485"/>
    <w:rsid w:val="00F1355D"/>
    <w:rsid w:val="00F1390C"/>
    <w:rsid w:val="00F13AA2"/>
    <w:rsid w:val="00F13DD0"/>
    <w:rsid w:val="00F13E05"/>
    <w:rsid w:val="00F144AB"/>
    <w:rsid w:val="00F15295"/>
    <w:rsid w:val="00F1553D"/>
    <w:rsid w:val="00F164C6"/>
    <w:rsid w:val="00F16A89"/>
    <w:rsid w:val="00F1738C"/>
    <w:rsid w:val="00F176DC"/>
    <w:rsid w:val="00F177FA"/>
    <w:rsid w:val="00F207A5"/>
    <w:rsid w:val="00F20A93"/>
    <w:rsid w:val="00F20E39"/>
    <w:rsid w:val="00F20F62"/>
    <w:rsid w:val="00F211D2"/>
    <w:rsid w:val="00F2140E"/>
    <w:rsid w:val="00F21E33"/>
    <w:rsid w:val="00F21EC7"/>
    <w:rsid w:val="00F224D5"/>
    <w:rsid w:val="00F22510"/>
    <w:rsid w:val="00F227E1"/>
    <w:rsid w:val="00F22A1A"/>
    <w:rsid w:val="00F22A1B"/>
    <w:rsid w:val="00F2324E"/>
    <w:rsid w:val="00F247C8"/>
    <w:rsid w:val="00F24833"/>
    <w:rsid w:val="00F2484B"/>
    <w:rsid w:val="00F248B1"/>
    <w:rsid w:val="00F24BA5"/>
    <w:rsid w:val="00F24D06"/>
    <w:rsid w:val="00F24DA1"/>
    <w:rsid w:val="00F25B9C"/>
    <w:rsid w:val="00F25BD0"/>
    <w:rsid w:val="00F26005"/>
    <w:rsid w:val="00F267A4"/>
    <w:rsid w:val="00F26849"/>
    <w:rsid w:val="00F26FB0"/>
    <w:rsid w:val="00F2700A"/>
    <w:rsid w:val="00F273D6"/>
    <w:rsid w:val="00F275FF"/>
    <w:rsid w:val="00F3019B"/>
    <w:rsid w:val="00F30801"/>
    <w:rsid w:val="00F316BB"/>
    <w:rsid w:val="00F31ACA"/>
    <w:rsid w:val="00F31DB1"/>
    <w:rsid w:val="00F330C4"/>
    <w:rsid w:val="00F336DC"/>
    <w:rsid w:val="00F33C8A"/>
    <w:rsid w:val="00F34C90"/>
    <w:rsid w:val="00F34F58"/>
    <w:rsid w:val="00F35684"/>
    <w:rsid w:val="00F36600"/>
    <w:rsid w:val="00F374D7"/>
    <w:rsid w:val="00F40AB9"/>
    <w:rsid w:val="00F40CED"/>
    <w:rsid w:val="00F40F52"/>
    <w:rsid w:val="00F41232"/>
    <w:rsid w:val="00F41759"/>
    <w:rsid w:val="00F427AB"/>
    <w:rsid w:val="00F42957"/>
    <w:rsid w:val="00F439D9"/>
    <w:rsid w:val="00F43C15"/>
    <w:rsid w:val="00F44104"/>
    <w:rsid w:val="00F4511D"/>
    <w:rsid w:val="00F4530F"/>
    <w:rsid w:val="00F4683A"/>
    <w:rsid w:val="00F46DC6"/>
    <w:rsid w:val="00F46F61"/>
    <w:rsid w:val="00F471D7"/>
    <w:rsid w:val="00F47982"/>
    <w:rsid w:val="00F47A21"/>
    <w:rsid w:val="00F5073B"/>
    <w:rsid w:val="00F50D32"/>
    <w:rsid w:val="00F50E6C"/>
    <w:rsid w:val="00F5109B"/>
    <w:rsid w:val="00F51236"/>
    <w:rsid w:val="00F51457"/>
    <w:rsid w:val="00F517CB"/>
    <w:rsid w:val="00F517DD"/>
    <w:rsid w:val="00F518DB"/>
    <w:rsid w:val="00F52059"/>
    <w:rsid w:val="00F524CE"/>
    <w:rsid w:val="00F531A4"/>
    <w:rsid w:val="00F5320B"/>
    <w:rsid w:val="00F5367D"/>
    <w:rsid w:val="00F54031"/>
    <w:rsid w:val="00F54693"/>
    <w:rsid w:val="00F54FD7"/>
    <w:rsid w:val="00F552A4"/>
    <w:rsid w:val="00F5541C"/>
    <w:rsid w:val="00F55433"/>
    <w:rsid w:val="00F55599"/>
    <w:rsid w:val="00F56F28"/>
    <w:rsid w:val="00F57111"/>
    <w:rsid w:val="00F574BD"/>
    <w:rsid w:val="00F5752E"/>
    <w:rsid w:val="00F60A36"/>
    <w:rsid w:val="00F61E7F"/>
    <w:rsid w:val="00F61E8E"/>
    <w:rsid w:val="00F627E3"/>
    <w:rsid w:val="00F62C7C"/>
    <w:rsid w:val="00F648C4"/>
    <w:rsid w:val="00F6491C"/>
    <w:rsid w:val="00F655E9"/>
    <w:rsid w:val="00F65AB3"/>
    <w:rsid w:val="00F669C4"/>
    <w:rsid w:val="00F6748D"/>
    <w:rsid w:val="00F678F9"/>
    <w:rsid w:val="00F70692"/>
    <w:rsid w:val="00F70A98"/>
    <w:rsid w:val="00F7139B"/>
    <w:rsid w:val="00F71C81"/>
    <w:rsid w:val="00F72383"/>
    <w:rsid w:val="00F73200"/>
    <w:rsid w:val="00F7348E"/>
    <w:rsid w:val="00F7362E"/>
    <w:rsid w:val="00F7368C"/>
    <w:rsid w:val="00F73A5F"/>
    <w:rsid w:val="00F74360"/>
    <w:rsid w:val="00F745B5"/>
    <w:rsid w:val="00F74B30"/>
    <w:rsid w:val="00F7531D"/>
    <w:rsid w:val="00F75A4A"/>
    <w:rsid w:val="00F75DB8"/>
    <w:rsid w:val="00F76A47"/>
    <w:rsid w:val="00F76BD8"/>
    <w:rsid w:val="00F76F63"/>
    <w:rsid w:val="00F77219"/>
    <w:rsid w:val="00F8040D"/>
    <w:rsid w:val="00F8084E"/>
    <w:rsid w:val="00F80A32"/>
    <w:rsid w:val="00F80ABE"/>
    <w:rsid w:val="00F81053"/>
    <w:rsid w:val="00F8147F"/>
    <w:rsid w:val="00F8215B"/>
    <w:rsid w:val="00F8326A"/>
    <w:rsid w:val="00F832C5"/>
    <w:rsid w:val="00F83705"/>
    <w:rsid w:val="00F84351"/>
    <w:rsid w:val="00F8553D"/>
    <w:rsid w:val="00F863A5"/>
    <w:rsid w:val="00F86EA7"/>
    <w:rsid w:val="00F8759B"/>
    <w:rsid w:val="00F90939"/>
    <w:rsid w:val="00F91C2C"/>
    <w:rsid w:val="00F91CDD"/>
    <w:rsid w:val="00F91F23"/>
    <w:rsid w:val="00F9283E"/>
    <w:rsid w:val="00F92AFA"/>
    <w:rsid w:val="00F92C09"/>
    <w:rsid w:val="00F931B7"/>
    <w:rsid w:val="00F936E9"/>
    <w:rsid w:val="00F954A2"/>
    <w:rsid w:val="00F95E79"/>
    <w:rsid w:val="00F95FCD"/>
    <w:rsid w:val="00F96000"/>
    <w:rsid w:val="00F96B60"/>
    <w:rsid w:val="00F96E5F"/>
    <w:rsid w:val="00F96FB2"/>
    <w:rsid w:val="00F976BA"/>
    <w:rsid w:val="00F97DD7"/>
    <w:rsid w:val="00FA0008"/>
    <w:rsid w:val="00FA001E"/>
    <w:rsid w:val="00FA0A3C"/>
    <w:rsid w:val="00FA100E"/>
    <w:rsid w:val="00FA1DBA"/>
    <w:rsid w:val="00FA3038"/>
    <w:rsid w:val="00FA3476"/>
    <w:rsid w:val="00FA378A"/>
    <w:rsid w:val="00FA3DA9"/>
    <w:rsid w:val="00FA4334"/>
    <w:rsid w:val="00FA452B"/>
    <w:rsid w:val="00FA5314"/>
    <w:rsid w:val="00FA547B"/>
    <w:rsid w:val="00FA5B59"/>
    <w:rsid w:val="00FA6C2A"/>
    <w:rsid w:val="00FA73D0"/>
    <w:rsid w:val="00FA7D8D"/>
    <w:rsid w:val="00FB008C"/>
    <w:rsid w:val="00FB036D"/>
    <w:rsid w:val="00FB08C6"/>
    <w:rsid w:val="00FB0AFC"/>
    <w:rsid w:val="00FB0DE2"/>
    <w:rsid w:val="00FB0F92"/>
    <w:rsid w:val="00FB18E8"/>
    <w:rsid w:val="00FB3125"/>
    <w:rsid w:val="00FB32D4"/>
    <w:rsid w:val="00FB3FC3"/>
    <w:rsid w:val="00FB409C"/>
    <w:rsid w:val="00FB40FA"/>
    <w:rsid w:val="00FB4352"/>
    <w:rsid w:val="00FB48A7"/>
    <w:rsid w:val="00FB5AF9"/>
    <w:rsid w:val="00FB6279"/>
    <w:rsid w:val="00FB7AC6"/>
    <w:rsid w:val="00FB7BFF"/>
    <w:rsid w:val="00FC0784"/>
    <w:rsid w:val="00FC1021"/>
    <w:rsid w:val="00FC1881"/>
    <w:rsid w:val="00FC1D94"/>
    <w:rsid w:val="00FC1EE2"/>
    <w:rsid w:val="00FC2348"/>
    <w:rsid w:val="00FC2690"/>
    <w:rsid w:val="00FC2A5F"/>
    <w:rsid w:val="00FC44DC"/>
    <w:rsid w:val="00FC4848"/>
    <w:rsid w:val="00FC48BF"/>
    <w:rsid w:val="00FC4A65"/>
    <w:rsid w:val="00FC4E98"/>
    <w:rsid w:val="00FC4FDB"/>
    <w:rsid w:val="00FC66DD"/>
    <w:rsid w:val="00FC68AC"/>
    <w:rsid w:val="00FD0004"/>
    <w:rsid w:val="00FD05A5"/>
    <w:rsid w:val="00FD066E"/>
    <w:rsid w:val="00FD1145"/>
    <w:rsid w:val="00FD1407"/>
    <w:rsid w:val="00FD15B4"/>
    <w:rsid w:val="00FD1773"/>
    <w:rsid w:val="00FD1A99"/>
    <w:rsid w:val="00FD1FA2"/>
    <w:rsid w:val="00FD3D41"/>
    <w:rsid w:val="00FD5039"/>
    <w:rsid w:val="00FD5C47"/>
    <w:rsid w:val="00FD629D"/>
    <w:rsid w:val="00FD6888"/>
    <w:rsid w:val="00FD6B9D"/>
    <w:rsid w:val="00FD7171"/>
    <w:rsid w:val="00FD7230"/>
    <w:rsid w:val="00FD740C"/>
    <w:rsid w:val="00FD7E37"/>
    <w:rsid w:val="00FD7F77"/>
    <w:rsid w:val="00FE15C3"/>
    <w:rsid w:val="00FE2AC9"/>
    <w:rsid w:val="00FE2B64"/>
    <w:rsid w:val="00FE2ED9"/>
    <w:rsid w:val="00FE3242"/>
    <w:rsid w:val="00FE32BB"/>
    <w:rsid w:val="00FE33EA"/>
    <w:rsid w:val="00FE3744"/>
    <w:rsid w:val="00FE3B84"/>
    <w:rsid w:val="00FE3EBC"/>
    <w:rsid w:val="00FE3FA2"/>
    <w:rsid w:val="00FE4610"/>
    <w:rsid w:val="00FE5172"/>
    <w:rsid w:val="00FE526F"/>
    <w:rsid w:val="00FE5AC6"/>
    <w:rsid w:val="00FE5D6B"/>
    <w:rsid w:val="00FE5F60"/>
    <w:rsid w:val="00FE6105"/>
    <w:rsid w:val="00FE696A"/>
    <w:rsid w:val="00FE7559"/>
    <w:rsid w:val="00FE7A5C"/>
    <w:rsid w:val="00FF0330"/>
    <w:rsid w:val="00FF0355"/>
    <w:rsid w:val="00FF0443"/>
    <w:rsid w:val="00FF05B6"/>
    <w:rsid w:val="00FF0C1E"/>
    <w:rsid w:val="00FF1D4A"/>
    <w:rsid w:val="00FF297E"/>
    <w:rsid w:val="00FF4355"/>
    <w:rsid w:val="00FF46DA"/>
    <w:rsid w:val="00FF4AB2"/>
    <w:rsid w:val="00FF5255"/>
    <w:rsid w:val="00FF5436"/>
    <w:rsid w:val="00FF54D0"/>
    <w:rsid w:val="00FF5674"/>
    <w:rsid w:val="00FF5CAF"/>
    <w:rsid w:val="00FF6C59"/>
    <w:rsid w:val="00FF78F4"/>
    <w:rsid w:val="00FF7974"/>
    <w:rsid w:val="00FF7C8E"/>
    <w:rsid w:val="00FF7E4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B961480"/>
  <w15:docId w15:val="{54A99B25-D2CE-447E-A172-48BC8B952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pl-P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E5F60"/>
    <w:pPr>
      <w:spacing w:before="100" w:beforeAutospacing="1" w:after="100" w:afterAutospacing="1"/>
      <w:jc w:val="both"/>
    </w:pPr>
    <w:rPr>
      <w:rFonts w:ascii="Times New Roman" w:hAnsi="Times New Roman"/>
      <w:sz w:val="24"/>
    </w:rPr>
  </w:style>
  <w:style w:type="paragraph" w:styleId="Nagwek1">
    <w:name w:val="heading 1"/>
    <w:basedOn w:val="Tytu"/>
    <w:next w:val="Normalny"/>
    <w:link w:val="Nagwek1Znak"/>
    <w:uiPriority w:val="9"/>
    <w:qFormat/>
    <w:rsid w:val="000A4F91"/>
    <w:pPr>
      <w:spacing w:before="240" w:beforeAutospacing="0" w:after="360" w:afterAutospacing="0"/>
      <w:outlineLvl w:val="0"/>
    </w:pPr>
    <w:rPr>
      <w:rFonts w:ascii="Times New Roman Bold" w:hAnsi="Times New Roman Bold"/>
      <w:caps/>
    </w:rPr>
  </w:style>
  <w:style w:type="paragraph" w:styleId="Nagwek2">
    <w:name w:val="heading 2"/>
    <w:basedOn w:val="Normalny"/>
    <w:next w:val="Normalny"/>
    <w:link w:val="Nagwek2Znak"/>
    <w:uiPriority w:val="9"/>
    <w:unhideWhenUsed/>
    <w:qFormat/>
    <w:rsid w:val="00BF4ABF"/>
    <w:pPr>
      <w:spacing w:before="240" w:beforeAutospacing="0" w:after="240" w:afterAutospacing="0"/>
      <w:outlineLvl w:val="1"/>
    </w:pPr>
    <w:rPr>
      <w:rFonts w:ascii="Times New Roman Bold" w:hAnsi="Times New Roman Bold"/>
      <w:b/>
      <w:caps/>
      <w:szCs w:val="24"/>
    </w:rPr>
  </w:style>
  <w:style w:type="paragraph" w:styleId="Nagwek3">
    <w:name w:val="heading 3"/>
    <w:basedOn w:val="Normalny"/>
    <w:next w:val="Normalny"/>
    <w:link w:val="Nagwek3Znak"/>
    <w:uiPriority w:val="9"/>
    <w:unhideWhenUsed/>
    <w:qFormat/>
    <w:rsid w:val="00BF4ABF"/>
    <w:pPr>
      <w:spacing w:before="240" w:beforeAutospacing="0" w:after="240" w:afterAutospacing="0"/>
      <w:jc w:val="left"/>
      <w:outlineLvl w:val="2"/>
    </w:pPr>
    <w:rPr>
      <w:rFonts w:ascii="Times New Roman Bold" w:hAnsi="Times New Roman Bold"/>
      <w:b/>
      <w:spacing w:val="5"/>
      <w:szCs w:val="24"/>
    </w:rPr>
  </w:style>
  <w:style w:type="paragraph" w:styleId="Nagwek4">
    <w:name w:val="heading 4"/>
    <w:basedOn w:val="Normalny"/>
    <w:next w:val="Normalny"/>
    <w:link w:val="Nagwek4Znak"/>
    <w:uiPriority w:val="9"/>
    <w:unhideWhenUsed/>
    <w:qFormat/>
    <w:rsid w:val="000669D7"/>
    <w:pPr>
      <w:tabs>
        <w:tab w:val="left" w:pos="1134"/>
      </w:tabs>
      <w:spacing w:before="240" w:beforeAutospacing="0" w:after="120" w:afterAutospacing="0"/>
      <w:ind w:left="1134" w:hanging="1134"/>
      <w:outlineLvl w:val="3"/>
    </w:pPr>
    <w:rPr>
      <w:b/>
      <w:szCs w:val="24"/>
      <w:u w:val="single"/>
    </w:rPr>
  </w:style>
  <w:style w:type="paragraph" w:styleId="Nagwek5">
    <w:name w:val="heading 5"/>
    <w:basedOn w:val="Normalny"/>
    <w:next w:val="Normalny"/>
    <w:link w:val="Nagwek5Znak"/>
    <w:uiPriority w:val="9"/>
    <w:semiHidden/>
    <w:unhideWhenUsed/>
    <w:qFormat/>
    <w:rsid w:val="00930A8D"/>
    <w:pPr>
      <w:spacing w:before="200" w:after="0"/>
      <w:jc w:val="left"/>
      <w:outlineLvl w:val="4"/>
    </w:pPr>
    <w:rPr>
      <w:smallCaps/>
      <w:color w:val="943634"/>
      <w:spacing w:val="10"/>
      <w:sz w:val="22"/>
      <w:szCs w:val="26"/>
    </w:rPr>
  </w:style>
  <w:style w:type="paragraph" w:styleId="Nagwek6">
    <w:name w:val="heading 6"/>
    <w:basedOn w:val="Normalny"/>
    <w:next w:val="Normalny"/>
    <w:link w:val="Nagwek6Znak"/>
    <w:uiPriority w:val="9"/>
    <w:semiHidden/>
    <w:unhideWhenUsed/>
    <w:qFormat/>
    <w:rsid w:val="00930A8D"/>
    <w:pPr>
      <w:spacing w:after="0"/>
      <w:jc w:val="left"/>
      <w:outlineLvl w:val="5"/>
    </w:pPr>
    <w:rPr>
      <w:smallCaps/>
      <w:color w:val="C0504D"/>
      <w:spacing w:val="5"/>
      <w:sz w:val="22"/>
    </w:rPr>
  </w:style>
  <w:style w:type="paragraph" w:styleId="Nagwek7">
    <w:name w:val="heading 7"/>
    <w:basedOn w:val="Normalny"/>
    <w:next w:val="Normalny"/>
    <w:link w:val="Nagwek7Znak"/>
    <w:uiPriority w:val="9"/>
    <w:semiHidden/>
    <w:unhideWhenUsed/>
    <w:qFormat/>
    <w:rsid w:val="00930A8D"/>
    <w:pPr>
      <w:spacing w:after="0"/>
      <w:jc w:val="left"/>
      <w:outlineLvl w:val="6"/>
    </w:pPr>
    <w:rPr>
      <w:b/>
      <w:smallCaps/>
      <w:color w:val="C0504D"/>
      <w:spacing w:val="10"/>
    </w:rPr>
  </w:style>
  <w:style w:type="paragraph" w:styleId="Nagwek8">
    <w:name w:val="heading 8"/>
    <w:basedOn w:val="Normalny"/>
    <w:next w:val="Normalny"/>
    <w:link w:val="Nagwek8Znak"/>
    <w:uiPriority w:val="9"/>
    <w:semiHidden/>
    <w:unhideWhenUsed/>
    <w:qFormat/>
    <w:rsid w:val="00930A8D"/>
    <w:pPr>
      <w:spacing w:after="0"/>
      <w:jc w:val="left"/>
      <w:outlineLvl w:val="7"/>
    </w:pPr>
    <w:rPr>
      <w:b/>
      <w:i/>
      <w:smallCaps/>
      <w:color w:val="943634"/>
    </w:rPr>
  </w:style>
  <w:style w:type="paragraph" w:styleId="Nagwek9">
    <w:name w:val="heading 9"/>
    <w:basedOn w:val="Normalny"/>
    <w:next w:val="Normalny"/>
    <w:link w:val="Nagwek9Znak"/>
    <w:uiPriority w:val="9"/>
    <w:semiHidden/>
    <w:unhideWhenUsed/>
    <w:qFormat/>
    <w:rsid w:val="00930A8D"/>
    <w:pPr>
      <w:spacing w:after="0"/>
      <w:jc w:val="left"/>
      <w:outlineLvl w:val="8"/>
    </w:pPr>
    <w:rPr>
      <w:b/>
      <w:i/>
      <w:smallCaps/>
      <w:color w:val="6224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Schriftart: 9 pt,Schriftart: 10 pt,Schriftart: 8 pt,WB-Fußnotentext,FoodNote,ft,Footnote,Footnote Text Char Char,Footnote Text Char1 Char Char,Footnote Text Char Char Char Char,fn,f,Voetnoottekst Char,Footnote Text Char1 Cha"/>
    <w:basedOn w:val="Normalny"/>
    <w:unhideWhenUsed/>
    <w:rsid w:val="009533DC"/>
    <w:rPr>
      <w:sz w:val="20"/>
    </w:rPr>
  </w:style>
  <w:style w:type="character" w:customStyle="1" w:styleId="FootnoteTextChar">
    <w:name w:val="Footnote Text Char"/>
    <w:aliases w:val="Schriftart: 9 pt Char,Schriftart: 10 pt Char,Schriftart: 8 pt Char,WB-Fußnotentext Char,FoodNote Char,ft Char,Footnote text Char,Footnote Char,Footnote Text Char1 Char,Footnote Text Char Char Char,Footnote Text Char1 Char Char Char"/>
    <w:rsid w:val="009533DC"/>
    <w:rPr>
      <w:lang w:eastAsia="pl-PL"/>
    </w:rPr>
  </w:style>
  <w:style w:type="character" w:styleId="Odwoanieprzypisudolnego">
    <w:name w:val="footnote reference"/>
    <w:aliases w:val="Footnote symbol,Times 10 Point,Exposant 3 Point, Exposant 3 Point,Footnote number,Footnote Reference Number,Footnote reference number,Footnote Reference Superscript,EN Footnote Reference,note TESI,Voetnootverwijzing,fr,o,FR"/>
    <w:link w:val="1"/>
    <w:uiPriority w:val="99"/>
    <w:unhideWhenUsed/>
    <w:rsid w:val="009533DC"/>
    <w:rPr>
      <w:vertAlign w:val="superscript"/>
    </w:rPr>
  </w:style>
  <w:style w:type="paragraph" w:styleId="Nagwek">
    <w:name w:val="header"/>
    <w:basedOn w:val="Normalny"/>
    <w:link w:val="NagwekZnak"/>
    <w:unhideWhenUsed/>
    <w:rsid w:val="008E59DC"/>
    <w:pPr>
      <w:tabs>
        <w:tab w:val="center" w:pos="4513"/>
        <w:tab w:val="right" w:pos="9026"/>
      </w:tabs>
    </w:pPr>
  </w:style>
  <w:style w:type="character" w:customStyle="1" w:styleId="NagwekZnak">
    <w:name w:val="Nagłówek Znak"/>
    <w:link w:val="Nagwek"/>
    <w:rsid w:val="008E59DC"/>
    <w:rPr>
      <w:sz w:val="22"/>
      <w:szCs w:val="22"/>
      <w:lang w:eastAsia="pl-PL"/>
    </w:rPr>
  </w:style>
  <w:style w:type="paragraph" w:styleId="Stopka">
    <w:name w:val="footer"/>
    <w:basedOn w:val="Normalny"/>
    <w:link w:val="StopkaZnak"/>
    <w:uiPriority w:val="99"/>
    <w:unhideWhenUsed/>
    <w:rsid w:val="008E59DC"/>
    <w:pPr>
      <w:tabs>
        <w:tab w:val="center" w:pos="4513"/>
        <w:tab w:val="right" w:pos="9026"/>
      </w:tabs>
    </w:pPr>
  </w:style>
  <w:style w:type="character" w:customStyle="1" w:styleId="StopkaZnak">
    <w:name w:val="Stopka Znak"/>
    <w:link w:val="Stopka"/>
    <w:uiPriority w:val="99"/>
    <w:rsid w:val="008E59DC"/>
    <w:rPr>
      <w:sz w:val="22"/>
      <w:szCs w:val="22"/>
      <w:lang w:eastAsia="pl-PL"/>
    </w:rPr>
  </w:style>
  <w:style w:type="character" w:styleId="Odwoaniedokomentarza">
    <w:name w:val="annotation reference"/>
    <w:unhideWhenUsed/>
    <w:rsid w:val="006B2260"/>
    <w:rPr>
      <w:sz w:val="16"/>
      <w:szCs w:val="16"/>
    </w:rPr>
  </w:style>
  <w:style w:type="paragraph" w:styleId="Tekstkomentarza">
    <w:name w:val="annotation text"/>
    <w:basedOn w:val="Normalny"/>
    <w:link w:val="TekstkomentarzaZnak"/>
    <w:semiHidden/>
    <w:unhideWhenUsed/>
    <w:rsid w:val="006B2260"/>
    <w:rPr>
      <w:sz w:val="20"/>
    </w:rPr>
  </w:style>
  <w:style w:type="character" w:customStyle="1" w:styleId="TekstkomentarzaZnak">
    <w:name w:val="Tekst komentarza Znak"/>
    <w:link w:val="Tekstkomentarza"/>
    <w:semiHidden/>
    <w:rsid w:val="006B2260"/>
    <w:rPr>
      <w:lang w:eastAsia="pl-PL"/>
    </w:rPr>
  </w:style>
  <w:style w:type="paragraph" w:styleId="Tekstdymka">
    <w:name w:val="Balloon Text"/>
    <w:basedOn w:val="Normalny"/>
    <w:link w:val="TekstdymkaZnak"/>
    <w:uiPriority w:val="99"/>
    <w:semiHidden/>
    <w:unhideWhenUsed/>
    <w:rsid w:val="006B2260"/>
    <w:pPr>
      <w:spacing w:after="0"/>
    </w:pPr>
    <w:rPr>
      <w:rFonts w:ascii="Tahoma" w:hAnsi="Tahoma" w:cs="Tahoma"/>
      <w:sz w:val="16"/>
      <w:szCs w:val="16"/>
    </w:rPr>
  </w:style>
  <w:style w:type="character" w:customStyle="1" w:styleId="TekstdymkaZnak">
    <w:name w:val="Tekst dymka Znak"/>
    <w:link w:val="Tekstdymka"/>
    <w:uiPriority w:val="99"/>
    <w:semiHidden/>
    <w:rsid w:val="006B2260"/>
    <w:rPr>
      <w:rFonts w:ascii="Tahoma"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F06AEA"/>
    <w:rPr>
      <w:b/>
      <w:bCs/>
    </w:rPr>
  </w:style>
  <w:style w:type="character" w:customStyle="1" w:styleId="TematkomentarzaZnak">
    <w:name w:val="Temat komentarza Znak"/>
    <w:link w:val="Tematkomentarza"/>
    <w:uiPriority w:val="99"/>
    <w:semiHidden/>
    <w:rsid w:val="00F06AEA"/>
    <w:rPr>
      <w:b/>
      <w:bCs/>
      <w:lang w:eastAsia="pl-PL"/>
    </w:rPr>
  </w:style>
  <w:style w:type="paragraph" w:styleId="Akapitzlist">
    <w:name w:val="List Paragraph"/>
    <w:basedOn w:val="Normalny"/>
    <w:uiPriority w:val="34"/>
    <w:qFormat/>
    <w:rsid w:val="00930A8D"/>
    <w:pPr>
      <w:ind w:left="720"/>
      <w:contextualSpacing/>
    </w:pPr>
  </w:style>
  <w:style w:type="numbering" w:customStyle="1" w:styleId="NoList1">
    <w:name w:val="No List1"/>
    <w:next w:val="Bezlisty"/>
    <w:uiPriority w:val="99"/>
    <w:semiHidden/>
    <w:unhideWhenUsed/>
    <w:rsid w:val="00280365"/>
  </w:style>
  <w:style w:type="paragraph" w:customStyle="1" w:styleId="ListDash">
    <w:name w:val="List Dash"/>
    <w:basedOn w:val="Normalny"/>
    <w:rsid w:val="00C24B90"/>
    <w:pPr>
      <w:numPr>
        <w:numId w:val="87"/>
      </w:numPr>
      <w:spacing w:before="0" w:beforeAutospacing="0" w:after="240" w:afterAutospacing="0"/>
    </w:pPr>
    <w:rPr>
      <w:lang w:eastAsia="en-US" w:bidi="ar-SA"/>
    </w:rPr>
  </w:style>
  <w:style w:type="paragraph" w:customStyle="1" w:styleId="Char1CharCharChar">
    <w:name w:val="Char1 Char Char Char"/>
    <w:basedOn w:val="Normalny"/>
    <w:rsid w:val="00280365"/>
    <w:pPr>
      <w:spacing w:after="160" w:line="240" w:lineRule="exact"/>
    </w:pPr>
    <w:rPr>
      <w:rFonts w:ascii="Tahoma" w:hAnsi="Tahoma"/>
      <w:sz w:val="20"/>
    </w:rPr>
  </w:style>
  <w:style w:type="paragraph" w:customStyle="1" w:styleId="CM1">
    <w:name w:val="CM1"/>
    <w:basedOn w:val="Normalny"/>
    <w:next w:val="Normalny"/>
    <w:uiPriority w:val="99"/>
    <w:rsid w:val="00280365"/>
    <w:pPr>
      <w:autoSpaceDE w:val="0"/>
      <w:autoSpaceDN w:val="0"/>
      <w:adjustRightInd w:val="0"/>
      <w:spacing w:after="0"/>
    </w:pPr>
    <w:rPr>
      <w:rFonts w:ascii="EUAlbertina" w:eastAsia="Calibri" w:hAnsi="EUAlbertina"/>
      <w:szCs w:val="24"/>
    </w:rPr>
  </w:style>
  <w:style w:type="paragraph" w:customStyle="1" w:styleId="CM3">
    <w:name w:val="CM3"/>
    <w:basedOn w:val="Normalny"/>
    <w:next w:val="Normalny"/>
    <w:uiPriority w:val="99"/>
    <w:rsid w:val="00280365"/>
    <w:pPr>
      <w:autoSpaceDE w:val="0"/>
      <w:autoSpaceDN w:val="0"/>
      <w:adjustRightInd w:val="0"/>
      <w:spacing w:after="0"/>
    </w:pPr>
    <w:rPr>
      <w:rFonts w:ascii="EUAlbertina" w:eastAsia="Calibri" w:hAnsi="EUAlbertina"/>
      <w:szCs w:val="24"/>
    </w:rPr>
  </w:style>
  <w:style w:type="paragraph" w:customStyle="1" w:styleId="Revision1">
    <w:name w:val="Revision1"/>
    <w:next w:val="Poprawka"/>
    <w:hidden/>
    <w:uiPriority w:val="99"/>
    <w:semiHidden/>
    <w:rsid w:val="00280365"/>
    <w:pPr>
      <w:spacing w:after="200" w:line="276" w:lineRule="auto"/>
      <w:jc w:val="both"/>
    </w:pPr>
    <w:rPr>
      <w:sz w:val="22"/>
      <w:szCs w:val="22"/>
    </w:rPr>
  </w:style>
  <w:style w:type="paragraph" w:styleId="Poprawka">
    <w:name w:val="Revision"/>
    <w:hidden/>
    <w:uiPriority w:val="99"/>
    <w:semiHidden/>
    <w:rsid w:val="00280365"/>
    <w:pPr>
      <w:spacing w:after="200" w:line="276" w:lineRule="auto"/>
      <w:jc w:val="both"/>
    </w:pPr>
    <w:rPr>
      <w:sz w:val="22"/>
      <w:szCs w:val="22"/>
    </w:rPr>
  </w:style>
  <w:style w:type="paragraph" w:customStyle="1" w:styleId="Char1CharCharChar0">
    <w:name w:val="Char1 Char Char Char"/>
    <w:basedOn w:val="Normalny"/>
    <w:rsid w:val="000A195F"/>
    <w:pPr>
      <w:spacing w:after="160" w:line="240" w:lineRule="exact"/>
    </w:pPr>
    <w:rPr>
      <w:rFonts w:ascii="Tahoma" w:hAnsi="Tahoma"/>
      <w:sz w:val="20"/>
    </w:rPr>
  </w:style>
  <w:style w:type="paragraph" w:customStyle="1" w:styleId="ZCom">
    <w:name w:val="Z_Com"/>
    <w:basedOn w:val="Normalny"/>
    <w:next w:val="ZDGName"/>
    <w:rsid w:val="003143A0"/>
    <w:pPr>
      <w:widowControl w:val="0"/>
      <w:spacing w:after="0"/>
      <w:ind w:right="85"/>
    </w:pPr>
    <w:rPr>
      <w:rFonts w:ascii="Arial" w:hAnsi="Arial"/>
      <w:snapToGrid w:val="0"/>
    </w:rPr>
  </w:style>
  <w:style w:type="paragraph" w:customStyle="1" w:styleId="ZDGName">
    <w:name w:val="Z_DGName"/>
    <w:basedOn w:val="Normalny"/>
    <w:rsid w:val="003143A0"/>
    <w:pPr>
      <w:widowControl w:val="0"/>
      <w:spacing w:after="0"/>
      <w:ind w:right="85"/>
    </w:pPr>
    <w:rPr>
      <w:rFonts w:ascii="Arial" w:hAnsi="Arial"/>
      <w:snapToGrid w:val="0"/>
      <w:sz w:val="16"/>
    </w:rPr>
  </w:style>
  <w:style w:type="character" w:styleId="Uwydatnienie">
    <w:name w:val="Emphasis"/>
    <w:uiPriority w:val="20"/>
    <w:rsid w:val="00930A8D"/>
    <w:rPr>
      <w:b/>
      <w:i/>
      <w:spacing w:val="10"/>
    </w:rPr>
  </w:style>
  <w:style w:type="paragraph" w:customStyle="1" w:styleId="Heading3contract">
    <w:name w:val="Heading 3 contract"/>
    <w:basedOn w:val="Normalny"/>
    <w:link w:val="Heading3contractChar"/>
    <w:autoRedefine/>
    <w:rsid w:val="00E37C07"/>
    <w:pPr>
      <w:keepNext/>
      <w:spacing w:before="120" w:after="0"/>
      <w:ind w:left="709" w:hanging="709"/>
    </w:pPr>
    <w:rPr>
      <w:b/>
      <w:szCs w:val="24"/>
    </w:rPr>
  </w:style>
  <w:style w:type="character" w:customStyle="1" w:styleId="Heading3contractChar">
    <w:name w:val="Heading 3 contract Char"/>
    <w:link w:val="Heading3contract"/>
    <w:rsid w:val="00E37C07"/>
    <w:rPr>
      <w:rFonts w:ascii="Times New Roman" w:eastAsia="Times New Roman" w:hAnsi="Times New Roman"/>
      <w:b/>
      <w:sz w:val="24"/>
      <w:szCs w:val="24"/>
      <w:lang w:eastAsia="pl-PL"/>
    </w:rPr>
  </w:style>
  <w:style w:type="character" w:styleId="Hipercze">
    <w:name w:val="Hyperlink"/>
    <w:uiPriority w:val="99"/>
    <w:unhideWhenUsed/>
    <w:rsid w:val="00171637"/>
    <w:rPr>
      <w:color w:val="0000FF"/>
      <w:u w:val="single"/>
    </w:rPr>
  </w:style>
  <w:style w:type="character" w:styleId="UyteHipercze">
    <w:name w:val="FollowedHyperlink"/>
    <w:uiPriority w:val="99"/>
    <w:semiHidden/>
    <w:unhideWhenUsed/>
    <w:rsid w:val="00171637"/>
    <w:rPr>
      <w:color w:val="800080"/>
      <w:u w:val="single"/>
    </w:rPr>
  </w:style>
  <w:style w:type="paragraph" w:customStyle="1" w:styleId="Default">
    <w:name w:val="Default"/>
    <w:rsid w:val="000F591C"/>
    <w:pPr>
      <w:autoSpaceDE w:val="0"/>
      <w:autoSpaceDN w:val="0"/>
      <w:adjustRightInd w:val="0"/>
      <w:spacing w:after="200" w:line="276" w:lineRule="auto"/>
      <w:jc w:val="both"/>
    </w:pPr>
    <w:rPr>
      <w:rFonts w:ascii="Times New Roman" w:hAnsi="Times New Roman"/>
      <w:color w:val="000000"/>
      <w:sz w:val="24"/>
      <w:szCs w:val="24"/>
    </w:rPr>
  </w:style>
  <w:style w:type="paragraph" w:customStyle="1" w:styleId="Subarticle">
    <w:name w:val="Subarticle"/>
    <w:basedOn w:val="Normalny"/>
    <w:link w:val="SubarticleChar"/>
    <w:rsid w:val="00B82CED"/>
    <w:pPr>
      <w:spacing w:after="0"/>
      <w:ind w:left="720" w:hanging="720"/>
    </w:pPr>
    <w:rPr>
      <w:b/>
      <w:szCs w:val="24"/>
    </w:rPr>
  </w:style>
  <w:style w:type="character" w:customStyle="1" w:styleId="SubarticleChar">
    <w:name w:val="Subarticle Char"/>
    <w:link w:val="Subarticle"/>
    <w:rsid w:val="00B82CED"/>
    <w:rPr>
      <w:rFonts w:ascii="Times New Roman" w:hAnsi="Times New Roman"/>
      <w:b/>
      <w:sz w:val="24"/>
      <w:szCs w:val="24"/>
    </w:rPr>
  </w:style>
  <w:style w:type="paragraph" w:customStyle="1" w:styleId="Article">
    <w:name w:val="Article"/>
    <w:basedOn w:val="Normalny"/>
    <w:link w:val="ArticleChar"/>
    <w:rsid w:val="000310B7"/>
    <w:pPr>
      <w:spacing w:after="0"/>
      <w:ind w:left="1871" w:hanging="1871"/>
    </w:pPr>
    <w:rPr>
      <w:b/>
      <w:szCs w:val="24"/>
    </w:rPr>
  </w:style>
  <w:style w:type="character" w:customStyle="1" w:styleId="ArticleChar">
    <w:name w:val="Article Char"/>
    <w:link w:val="Article"/>
    <w:rsid w:val="000310B7"/>
    <w:rPr>
      <w:rFonts w:ascii="Times New Roman" w:hAnsi="Times New Roman"/>
      <w:b/>
      <w:sz w:val="24"/>
      <w:szCs w:val="24"/>
      <w:lang w:eastAsia="pl-PL"/>
    </w:rPr>
  </w:style>
  <w:style w:type="paragraph" w:customStyle="1" w:styleId="Contact">
    <w:name w:val="Contact"/>
    <w:basedOn w:val="Normalny"/>
    <w:next w:val="Normalny"/>
    <w:rsid w:val="00C24B90"/>
    <w:pPr>
      <w:spacing w:before="480" w:beforeAutospacing="0" w:after="0" w:afterAutospacing="0"/>
      <w:ind w:left="567" w:hanging="567"/>
      <w:jc w:val="left"/>
    </w:pPr>
    <w:rPr>
      <w:lang w:eastAsia="en-US" w:bidi="ar-SA"/>
    </w:rPr>
  </w:style>
  <w:style w:type="paragraph" w:styleId="Listapunktowana">
    <w:name w:val="List Bullet"/>
    <w:basedOn w:val="Normalny"/>
    <w:rsid w:val="00C24B90"/>
    <w:pPr>
      <w:numPr>
        <w:numId w:val="82"/>
      </w:numPr>
      <w:spacing w:before="0" w:beforeAutospacing="0" w:after="240" w:afterAutospacing="0"/>
    </w:pPr>
    <w:rPr>
      <w:lang w:eastAsia="en-US" w:bidi="ar-SA"/>
    </w:rPr>
  </w:style>
  <w:style w:type="paragraph" w:customStyle="1" w:styleId="ListBullet1">
    <w:name w:val="List Bullet 1"/>
    <w:basedOn w:val="Normalny"/>
    <w:rsid w:val="00C24B90"/>
    <w:pPr>
      <w:numPr>
        <w:numId w:val="83"/>
      </w:numPr>
      <w:spacing w:before="0" w:beforeAutospacing="0" w:after="240" w:afterAutospacing="0"/>
    </w:pPr>
    <w:rPr>
      <w:lang w:eastAsia="en-US" w:bidi="ar-SA"/>
    </w:rPr>
  </w:style>
  <w:style w:type="paragraph" w:styleId="Listapunktowana2">
    <w:name w:val="List Bullet 2"/>
    <w:basedOn w:val="Normalny"/>
    <w:rsid w:val="00C24B90"/>
    <w:pPr>
      <w:numPr>
        <w:numId w:val="84"/>
      </w:numPr>
      <w:spacing w:before="0" w:beforeAutospacing="0" w:after="240" w:afterAutospacing="0"/>
    </w:pPr>
    <w:rPr>
      <w:lang w:eastAsia="en-US" w:bidi="ar-SA"/>
    </w:rPr>
  </w:style>
  <w:style w:type="paragraph" w:styleId="Listapunktowana3">
    <w:name w:val="List Bullet 3"/>
    <w:basedOn w:val="Normalny"/>
    <w:rsid w:val="00C24B90"/>
    <w:pPr>
      <w:numPr>
        <w:numId w:val="85"/>
      </w:numPr>
      <w:spacing w:before="0" w:beforeAutospacing="0" w:after="240" w:afterAutospacing="0"/>
    </w:pPr>
    <w:rPr>
      <w:lang w:eastAsia="en-US" w:bidi="ar-SA"/>
    </w:rPr>
  </w:style>
  <w:style w:type="paragraph" w:styleId="Listapunktowana4">
    <w:name w:val="List Bullet 4"/>
    <w:basedOn w:val="Normalny"/>
    <w:rsid w:val="00C24B90"/>
    <w:pPr>
      <w:numPr>
        <w:numId w:val="86"/>
      </w:numPr>
      <w:spacing w:before="0" w:beforeAutospacing="0" w:after="240" w:afterAutospacing="0"/>
    </w:pPr>
    <w:rPr>
      <w:lang w:eastAsia="en-US" w:bidi="ar-SA"/>
    </w:rPr>
  </w:style>
  <w:style w:type="paragraph" w:customStyle="1" w:styleId="ListDash1">
    <w:name w:val="List Dash 1"/>
    <w:basedOn w:val="Normalny"/>
    <w:rsid w:val="00C24B90"/>
    <w:pPr>
      <w:numPr>
        <w:numId w:val="88"/>
      </w:numPr>
      <w:spacing w:before="0" w:beforeAutospacing="0" w:after="240" w:afterAutospacing="0"/>
    </w:pPr>
    <w:rPr>
      <w:lang w:eastAsia="en-US" w:bidi="ar-SA"/>
    </w:rPr>
  </w:style>
  <w:style w:type="paragraph" w:customStyle="1" w:styleId="ListDash2">
    <w:name w:val="List Dash 2"/>
    <w:basedOn w:val="Normalny"/>
    <w:rsid w:val="00C24B90"/>
    <w:pPr>
      <w:numPr>
        <w:numId w:val="89"/>
      </w:numPr>
      <w:spacing w:before="0" w:beforeAutospacing="0" w:after="240" w:afterAutospacing="0"/>
    </w:pPr>
    <w:rPr>
      <w:lang w:eastAsia="en-US" w:bidi="ar-SA"/>
    </w:rPr>
  </w:style>
  <w:style w:type="paragraph" w:customStyle="1" w:styleId="ListDash3">
    <w:name w:val="List Dash 3"/>
    <w:basedOn w:val="Normalny"/>
    <w:link w:val="ListDash3Char"/>
    <w:rsid w:val="00C24B90"/>
    <w:pPr>
      <w:numPr>
        <w:numId w:val="90"/>
      </w:numPr>
      <w:spacing w:before="0" w:beforeAutospacing="0" w:after="240" w:afterAutospacing="0"/>
    </w:pPr>
    <w:rPr>
      <w:lang w:eastAsia="en-US" w:bidi="ar-SA"/>
    </w:rPr>
  </w:style>
  <w:style w:type="paragraph" w:customStyle="1" w:styleId="ListDash4">
    <w:name w:val="List Dash 4"/>
    <w:basedOn w:val="Normalny"/>
    <w:rsid w:val="00C24B90"/>
    <w:pPr>
      <w:numPr>
        <w:numId w:val="91"/>
      </w:numPr>
      <w:spacing w:before="0" w:beforeAutospacing="0" w:after="240" w:afterAutospacing="0"/>
    </w:pPr>
    <w:rPr>
      <w:lang w:eastAsia="en-US" w:bidi="ar-SA"/>
    </w:rPr>
  </w:style>
  <w:style w:type="paragraph" w:styleId="Listanumerowana">
    <w:name w:val="List Number"/>
    <w:basedOn w:val="Normalny"/>
    <w:rsid w:val="00C24B90"/>
    <w:pPr>
      <w:numPr>
        <w:numId w:val="92"/>
      </w:numPr>
      <w:spacing w:before="0" w:beforeAutospacing="0" w:after="240" w:afterAutospacing="0"/>
    </w:pPr>
    <w:rPr>
      <w:lang w:eastAsia="en-US" w:bidi="ar-SA"/>
    </w:rPr>
  </w:style>
  <w:style w:type="paragraph" w:customStyle="1" w:styleId="ListNumber1">
    <w:name w:val="List Number 1"/>
    <w:basedOn w:val="Normalny"/>
    <w:rsid w:val="00C24B90"/>
    <w:pPr>
      <w:numPr>
        <w:numId w:val="93"/>
      </w:numPr>
      <w:spacing w:before="0" w:beforeAutospacing="0" w:after="240" w:afterAutospacing="0"/>
    </w:pPr>
    <w:rPr>
      <w:lang w:eastAsia="en-US" w:bidi="ar-SA"/>
    </w:rPr>
  </w:style>
  <w:style w:type="paragraph" w:styleId="Listanumerowana2">
    <w:name w:val="List Number 2"/>
    <w:basedOn w:val="Normalny"/>
    <w:rsid w:val="00C24B90"/>
    <w:pPr>
      <w:numPr>
        <w:numId w:val="94"/>
      </w:numPr>
      <w:spacing w:before="0" w:beforeAutospacing="0" w:after="240" w:afterAutospacing="0"/>
    </w:pPr>
    <w:rPr>
      <w:lang w:eastAsia="en-US" w:bidi="ar-SA"/>
    </w:rPr>
  </w:style>
  <w:style w:type="paragraph" w:styleId="Listanumerowana3">
    <w:name w:val="List Number 3"/>
    <w:basedOn w:val="Normalny"/>
    <w:rsid w:val="00C24B90"/>
    <w:pPr>
      <w:numPr>
        <w:numId w:val="95"/>
      </w:numPr>
      <w:spacing w:before="0" w:beforeAutospacing="0" w:after="240" w:afterAutospacing="0"/>
    </w:pPr>
    <w:rPr>
      <w:lang w:eastAsia="en-US" w:bidi="ar-SA"/>
    </w:rPr>
  </w:style>
  <w:style w:type="paragraph" w:styleId="Listanumerowana4">
    <w:name w:val="List Number 4"/>
    <w:basedOn w:val="Normalny"/>
    <w:rsid w:val="00C24B90"/>
    <w:pPr>
      <w:numPr>
        <w:numId w:val="96"/>
      </w:numPr>
      <w:spacing w:before="0" w:beforeAutospacing="0" w:after="240" w:afterAutospacing="0"/>
    </w:pPr>
    <w:rPr>
      <w:lang w:eastAsia="en-US" w:bidi="ar-SA"/>
    </w:rPr>
  </w:style>
  <w:style w:type="paragraph" w:customStyle="1" w:styleId="ListNumberLevel2">
    <w:name w:val="List Number (Level 2)"/>
    <w:basedOn w:val="Normalny"/>
    <w:rsid w:val="00C24B90"/>
    <w:pPr>
      <w:numPr>
        <w:ilvl w:val="1"/>
        <w:numId w:val="92"/>
      </w:numPr>
      <w:spacing w:before="0" w:beforeAutospacing="0" w:after="240" w:afterAutospacing="0"/>
    </w:pPr>
    <w:rPr>
      <w:lang w:eastAsia="en-US" w:bidi="ar-SA"/>
    </w:rPr>
  </w:style>
  <w:style w:type="paragraph" w:customStyle="1" w:styleId="ListNumber1Level2">
    <w:name w:val="List Number 1 (Level 2)"/>
    <w:basedOn w:val="Normalny"/>
    <w:rsid w:val="00C24B90"/>
    <w:pPr>
      <w:numPr>
        <w:ilvl w:val="1"/>
        <w:numId w:val="93"/>
      </w:numPr>
      <w:spacing w:before="0" w:beforeAutospacing="0" w:after="240" w:afterAutospacing="0"/>
    </w:pPr>
    <w:rPr>
      <w:lang w:eastAsia="en-US" w:bidi="ar-SA"/>
    </w:rPr>
  </w:style>
  <w:style w:type="paragraph" w:customStyle="1" w:styleId="ListNumber2Level2">
    <w:name w:val="List Number 2 (Level 2)"/>
    <w:basedOn w:val="Normalny"/>
    <w:rsid w:val="00C24B90"/>
    <w:pPr>
      <w:numPr>
        <w:ilvl w:val="1"/>
        <w:numId w:val="94"/>
      </w:numPr>
      <w:spacing w:before="0" w:beforeAutospacing="0" w:after="240" w:afterAutospacing="0"/>
    </w:pPr>
    <w:rPr>
      <w:lang w:eastAsia="en-US" w:bidi="ar-SA"/>
    </w:rPr>
  </w:style>
  <w:style w:type="paragraph" w:customStyle="1" w:styleId="ListNumber3Level2">
    <w:name w:val="List Number 3 (Level 2)"/>
    <w:basedOn w:val="Normalny"/>
    <w:rsid w:val="00C24B90"/>
    <w:pPr>
      <w:numPr>
        <w:ilvl w:val="1"/>
        <w:numId w:val="95"/>
      </w:numPr>
      <w:spacing w:before="0" w:beforeAutospacing="0" w:after="240" w:afterAutospacing="0"/>
    </w:pPr>
    <w:rPr>
      <w:lang w:eastAsia="en-US" w:bidi="ar-SA"/>
    </w:rPr>
  </w:style>
  <w:style w:type="paragraph" w:customStyle="1" w:styleId="ListNumber4Level2">
    <w:name w:val="List Number 4 (Level 2)"/>
    <w:basedOn w:val="Normalny"/>
    <w:rsid w:val="00C24B90"/>
    <w:pPr>
      <w:numPr>
        <w:ilvl w:val="1"/>
        <w:numId w:val="96"/>
      </w:numPr>
      <w:spacing w:before="0" w:beforeAutospacing="0" w:after="240" w:afterAutospacing="0"/>
    </w:pPr>
    <w:rPr>
      <w:lang w:eastAsia="en-US" w:bidi="ar-SA"/>
    </w:rPr>
  </w:style>
  <w:style w:type="paragraph" w:customStyle="1" w:styleId="ListNumberLevel3">
    <w:name w:val="List Number (Level 3)"/>
    <w:basedOn w:val="Normalny"/>
    <w:rsid w:val="00C24B90"/>
    <w:pPr>
      <w:numPr>
        <w:ilvl w:val="2"/>
        <w:numId w:val="92"/>
      </w:numPr>
      <w:spacing w:before="0" w:beforeAutospacing="0" w:after="240" w:afterAutospacing="0"/>
    </w:pPr>
    <w:rPr>
      <w:lang w:eastAsia="en-US" w:bidi="ar-SA"/>
    </w:rPr>
  </w:style>
  <w:style w:type="paragraph" w:customStyle="1" w:styleId="ListNumber1Level3">
    <w:name w:val="List Number 1 (Level 3)"/>
    <w:basedOn w:val="Normalny"/>
    <w:rsid w:val="00C24B90"/>
    <w:pPr>
      <w:numPr>
        <w:ilvl w:val="2"/>
        <w:numId w:val="93"/>
      </w:numPr>
      <w:spacing w:before="0" w:beforeAutospacing="0" w:after="240" w:afterAutospacing="0"/>
    </w:pPr>
    <w:rPr>
      <w:lang w:eastAsia="en-US" w:bidi="ar-SA"/>
    </w:rPr>
  </w:style>
  <w:style w:type="paragraph" w:customStyle="1" w:styleId="ListNumber2Level3">
    <w:name w:val="List Number 2 (Level 3)"/>
    <w:basedOn w:val="Normalny"/>
    <w:rsid w:val="00C24B90"/>
    <w:pPr>
      <w:numPr>
        <w:ilvl w:val="2"/>
        <w:numId w:val="94"/>
      </w:numPr>
      <w:spacing w:before="0" w:beforeAutospacing="0" w:after="240" w:afterAutospacing="0"/>
    </w:pPr>
    <w:rPr>
      <w:lang w:eastAsia="en-US" w:bidi="ar-SA"/>
    </w:rPr>
  </w:style>
  <w:style w:type="paragraph" w:customStyle="1" w:styleId="ListNumber3Level3">
    <w:name w:val="List Number 3 (Level 3)"/>
    <w:basedOn w:val="Normalny"/>
    <w:rsid w:val="00C24B90"/>
    <w:pPr>
      <w:numPr>
        <w:ilvl w:val="2"/>
        <w:numId w:val="95"/>
      </w:numPr>
      <w:spacing w:before="0" w:beforeAutospacing="0" w:after="240" w:afterAutospacing="0"/>
    </w:pPr>
    <w:rPr>
      <w:lang w:eastAsia="en-US" w:bidi="ar-SA"/>
    </w:rPr>
  </w:style>
  <w:style w:type="paragraph" w:customStyle="1" w:styleId="ListNumber4Level3">
    <w:name w:val="List Number 4 (Level 3)"/>
    <w:basedOn w:val="Normalny"/>
    <w:rsid w:val="00C24B90"/>
    <w:pPr>
      <w:numPr>
        <w:ilvl w:val="2"/>
        <w:numId w:val="96"/>
      </w:numPr>
      <w:spacing w:before="0" w:beforeAutospacing="0" w:after="240" w:afterAutospacing="0"/>
    </w:pPr>
    <w:rPr>
      <w:lang w:eastAsia="en-US" w:bidi="ar-SA"/>
    </w:rPr>
  </w:style>
  <w:style w:type="paragraph" w:customStyle="1" w:styleId="ListNumberLevel4">
    <w:name w:val="List Number (Level 4)"/>
    <w:basedOn w:val="Normalny"/>
    <w:rsid w:val="00C24B90"/>
    <w:pPr>
      <w:numPr>
        <w:ilvl w:val="3"/>
        <w:numId w:val="92"/>
      </w:numPr>
      <w:spacing w:before="0" w:beforeAutospacing="0" w:after="240" w:afterAutospacing="0"/>
    </w:pPr>
    <w:rPr>
      <w:lang w:eastAsia="en-US" w:bidi="ar-SA"/>
    </w:rPr>
  </w:style>
  <w:style w:type="paragraph" w:customStyle="1" w:styleId="ListNumber1Level4">
    <w:name w:val="List Number 1 (Level 4)"/>
    <w:basedOn w:val="Normalny"/>
    <w:rsid w:val="00C24B90"/>
    <w:pPr>
      <w:numPr>
        <w:ilvl w:val="3"/>
        <w:numId w:val="93"/>
      </w:numPr>
      <w:spacing w:before="0" w:beforeAutospacing="0" w:after="240" w:afterAutospacing="0"/>
    </w:pPr>
    <w:rPr>
      <w:lang w:eastAsia="en-US" w:bidi="ar-SA"/>
    </w:rPr>
  </w:style>
  <w:style w:type="paragraph" w:customStyle="1" w:styleId="ListNumber2Level4">
    <w:name w:val="List Number 2 (Level 4)"/>
    <w:basedOn w:val="Normalny"/>
    <w:rsid w:val="00C24B90"/>
    <w:pPr>
      <w:numPr>
        <w:ilvl w:val="3"/>
        <w:numId w:val="94"/>
      </w:numPr>
      <w:spacing w:before="0" w:beforeAutospacing="0" w:after="240" w:afterAutospacing="0"/>
    </w:pPr>
    <w:rPr>
      <w:lang w:eastAsia="en-US" w:bidi="ar-SA"/>
    </w:rPr>
  </w:style>
  <w:style w:type="paragraph" w:customStyle="1" w:styleId="ListNumber3Level4">
    <w:name w:val="List Number 3 (Level 4)"/>
    <w:basedOn w:val="Normalny"/>
    <w:rsid w:val="00C24B90"/>
    <w:pPr>
      <w:numPr>
        <w:ilvl w:val="3"/>
        <w:numId w:val="95"/>
      </w:numPr>
      <w:spacing w:before="0" w:beforeAutospacing="0" w:after="240" w:afterAutospacing="0"/>
    </w:pPr>
    <w:rPr>
      <w:lang w:eastAsia="en-US" w:bidi="ar-SA"/>
    </w:rPr>
  </w:style>
  <w:style w:type="paragraph" w:customStyle="1" w:styleId="ListNumber4Level4">
    <w:name w:val="List Number 4 (Level 4)"/>
    <w:basedOn w:val="Normalny"/>
    <w:rsid w:val="00C24B90"/>
    <w:pPr>
      <w:numPr>
        <w:ilvl w:val="3"/>
        <w:numId w:val="96"/>
      </w:numPr>
      <w:spacing w:before="0" w:beforeAutospacing="0" w:after="240" w:afterAutospacing="0"/>
    </w:pPr>
    <w:rPr>
      <w:lang w:eastAsia="en-US" w:bidi="ar-SA"/>
    </w:rPr>
  </w:style>
  <w:style w:type="paragraph" w:styleId="Spistreci5">
    <w:name w:val="toc 5"/>
    <w:basedOn w:val="Normalny"/>
    <w:next w:val="Normalny"/>
    <w:rsid w:val="00C24B90"/>
    <w:pPr>
      <w:tabs>
        <w:tab w:val="right" w:leader="dot" w:pos="8641"/>
      </w:tabs>
      <w:spacing w:before="240" w:beforeAutospacing="0" w:after="120" w:afterAutospacing="0"/>
      <w:ind w:right="720"/>
    </w:pPr>
    <w:rPr>
      <w:caps/>
      <w:lang w:eastAsia="en-US" w:bidi="ar-SA"/>
    </w:rPr>
  </w:style>
  <w:style w:type="character" w:customStyle="1" w:styleId="Nagwek1Znak">
    <w:name w:val="Nagłówek 1 Znak"/>
    <w:link w:val="Nagwek1"/>
    <w:uiPriority w:val="9"/>
    <w:rsid w:val="000A4F91"/>
    <w:rPr>
      <w:rFonts w:ascii="Times New Roman Bold" w:hAnsi="Times New Roman Bold"/>
      <w:b/>
      <w:caps/>
      <w:sz w:val="24"/>
      <w:szCs w:val="24"/>
    </w:rPr>
  </w:style>
  <w:style w:type="paragraph" w:styleId="Nagwekspisutreci">
    <w:name w:val="TOC Heading"/>
    <w:basedOn w:val="Normalny"/>
    <w:next w:val="Normalny"/>
    <w:qFormat/>
    <w:rsid w:val="00C24B90"/>
    <w:pPr>
      <w:keepNext/>
      <w:spacing w:before="240" w:beforeAutospacing="0" w:after="240" w:afterAutospacing="0"/>
      <w:jc w:val="center"/>
    </w:pPr>
    <w:rPr>
      <w:b/>
      <w:lang w:eastAsia="en-US" w:bidi="ar-SA"/>
    </w:rPr>
  </w:style>
  <w:style w:type="paragraph" w:styleId="Spistreci1">
    <w:name w:val="toc 1"/>
    <w:basedOn w:val="Normalny"/>
    <w:next w:val="Normalny"/>
    <w:uiPriority w:val="39"/>
    <w:rsid w:val="00FE5F60"/>
    <w:pPr>
      <w:tabs>
        <w:tab w:val="right" w:leader="dot" w:pos="8640"/>
      </w:tabs>
      <w:spacing w:before="120" w:after="120"/>
      <w:ind w:left="482" w:right="720" w:hanging="482"/>
    </w:pPr>
    <w:rPr>
      <w:b/>
      <w:caps/>
    </w:rPr>
  </w:style>
  <w:style w:type="paragraph" w:styleId="Spistreci2">
    <w:name w:val="toc 2"/>
    <w:basedOn w:val="Normalny"/>
    <w:next w:val="Normalny"/>
    <w:uiPriority w:val="39"/>
    <w:rsid w:val="00856DF9"/>
    <w:pPr>
      <w:tabs>
        <w:tab w:val="right" w:leader="dot" w:pos="8640"/>
      </w:tabs>
      <w:spacing w:before="60" w:after="60"/>
      <w:ind w:left="1077" w:right="720" w:hanging="595"/>
    </w:pPr>
  </w:style>
  <w:style w:type="paragraph" w:styleId="Spistreci3">
    <w:name w:val="toc 3"/>
    <w:basedOn w:val="Normalny"/>
    <w:next w:val="Normalny"/>
    <w:uiPriority w:val="39"/>
    <w:rsid w:val="00856DF9"/>
    <w:pPr>
      <w:tabs>
        <w:tab w:val="right" w:leader="dot" w:pos="8640"/>
      </w:tabs>
      <w:spacing w:before="60" w:after="60"/>
      <w:ind w:left="1916" w:right="720" w:hanging="839"/>
    </w:pPr>
  </w:style>
  <w:style w:type="paragraph" w:styleId="Spistreci4">
    <w:name w:val="toc 4"/>
    <w:basedOn w:val="Normalny"/>
    <w:next w:val="Normalny"/>
    <w:uiPriority w:val="39"/>
    <w:rsid w:val="00856DF9"/>
    <w:pPr>
      <w:tabs>
        <w:tab w:val="right" w:leader="dot" w:pos="8641"/>
      </w:tabs>
      <w:spacing w:before="60" w:after="60"/>
      <w:ind w:left="2880" w:right="720" w:hanging="964"/>
    </w:pPr>
  </w:style>
  <w:style w:type="paragraph" w:styleId="Spistreci6">
    <w:name w:val="toc 6"/>
    <w:basedOn w:val="Normalny"/>
    <w:next w:val="Normalny"/>
    <w:autoRedefine/>
    <w:uiPriority w:val="39"/>
    <w:unhideWhenUsed/>
    <w:rsid w:val="00930A8D"/>
    <w:pPr>
      <w:ind w:left="1100"/>
    </w:pPr>
    <w:rPr>
      <w:rFonts w:ascii="Calibri" w:hAnsi="Calibri"/>
    </w:rPr>
  </w:style>
  <w:style w:type="paragraph" w:styleId="Spistreci7">
    <w:name w:val="toc 7"/>
    <w:basedOn w:val="Normalny"/>
    <w:next w:val="Normalny"/>
    <w:autoRedefine/>
    <w:uiPriority w:val="39"/>
    <w:unhideWhenUsed/>
    <w:rsid w:val="00930A8D"/>
    <w:pPr>
      <w:ind w:left="1320"/>
    </w:pPr>
    <w:rPr>
      <w:rFonts w:ascii="Calibri" w:hAnsi="Calibri"/>
    </w:rPr>
  </w:style>
  <w:style w:type="paragraph" w:styleId="Spistreci8">
    <w:name w:val="toc 8"/>
    <w:basedOn w:val="Normalny"/>
    <w:next w:val="Normalny"/>
    <w:autoRedefine/>
    <w:uiPriority w:val="39"/>
    <w:unhideWhenUsed/>
    <w:rsid w:val="00930A8D"/>
    <w:pPr>
      <w:ind w:left="1540"/>
    </w:pPr>
    <w:rPr>
      <w:rFonts w:ascii="Calibri" w:hAnsi="Calibri"/>
    </w:rPr>
  </w:style>
  <w:style w:type="paragraph" w:styleId="Spistreci9">
    <w:name w:val="toc 9"/>
    <w:basedOn w:val="Normalny"/>
    <w:next w:val="Normalny"/>
    <w:autoRedefine/>
    <w:uiPriority w:val="39"/>
    <w:unhideWhenUsed/>
    <w:rsid w:val="00930A8D"/>
    <w:pPr>
      <w:ind w:left="1760"/>
    </w:pPr>
    <w:rPr>
      <w:rFonts w:ascii="Calibri" w:hAnsi="Calibri"/>
    </w:rPr>
  </w:style>
  <w:style w:type="character" w:customStyle="1" w:styleId="Nagwek2Znak">
    <w:name w:val="Nagłówek 2 Znak"/>
    <w:link w:val="Nagwek2"/>
    <w:uiPriority w:val="9"/>
    <w:rsid w:val="00BF4ABF"/>
    <w:rPr>
      <w:rFonts w:ascii="Times New Roman Bold" w:hAnsi="Times New Roman Bold"/>
      <w:b/>
      <w:caps/>
      <w:sz w:val="24"/>
      <w:szCs w:val="24"/>
    </w:rPr>
  </w:style>
  <w:style w:type="character" w:customStyle="1" w:styleId="Nagwek3Znak">
    <w:name w:val="Nagłówek 3 Znak"/>
    <w:link w:val="Nagwek3"/>
    <w:uiPriority w:val="9"/>
    <w:rsid w:val="00BF4ABF"/>
    <w:rPr>
      <w:rFonts w:ascii="Times New Roman Bold" w:hAnsi="Times New Roman Bold"/>
      <w:b/>
      <w:spacing w:val="5"/>
      <w:sz w:val="24"/>
      <w:szCs w:val="24"/>
    </w:rPr>
  </w:style>
  <w:style w:type="character" w:customStyle="1" w:styleId="Nagwek4Znak">
    <w:name w:val="Nagłówek 4 Znak"/>
    <w:link w:val="Nagwek4"/>
    <w:uiPriority w:val="9"/>
    <w:rsid w:val="000669D7"/>
    <w:rPr>
      <w:rFonts w:ascii="Times New Roman" w:hAnsi="Times New Roman"/>
      <w:b/>
      <w:sz w:val="24"/>
      <w:szCs w:val="24"/>
      <w:u w:val="single"/>
    </w:rPr>
  </w:style>
  <w:style w:type="character" w:customStyle="1" w:styleId="Nagwek5Znak">
    <w:name w:val="Nagłówek 5 Znak"/>
    <w:link w:val="Nagwek5"/>
    <w:uiPriority w:val="9"/>
    <w:semiHidden/>
    <w:rsid w:val="00930A8D"/>
    <w:rPr>
      <w:smallCaps/>
      <w:color w:val="943634"/>
      <w:spacing w:val="10"/>
      <w:sz w:val="22"/>
      <w:szCs w:val="26"/>
    </w:rPr>
  </w:style>
  <w:style w:type="character" w:customStyle="1" w:styleId="Nagwek6Znak">
    <w:name w:val="Nagłówek 6 Znak"/>
    <w:link w:val="Nagwek6"/>
    <w:uiPriority w:val="9"/>
    <w:semiHidden/>
    <w:rsid w:val="00930A8D"/>
    <w:rPr>
      <w:smallCaps/>
      <w:color w:val="C0504D"/>
      <w:spacing w:val="5"/>
      <w:sz w:val="22"/>
    </w:rPr>
  </w:style>
  <w:style w:type="character" w:customStyle="1" w:styleId="Nagwek7Znak">
    <w:name w:val="Nagłówek 7 Znak"/>
    <w:link w:val="Nagwek7"/>
    <w:uiPriority w:val="9"/>
    <w:semiHidden/>
    <w:rsid w:val="00930A8D"/>
    <w:rPr>
      <w:b/>
      <w:smallCaps/>
      <w:color w:val="C0504D"/>
      <w:spacing w:val="10"/>
    </w:rPr>
  </w:style>
  <w:style w:type="character" w:customStyle="1" w:styleId="Nagwek8Znak">
    <w:name w:val="Nagłówek 8 Znak"/>
    <w:link w:val="Nagwek8"/>
    <w:uiPriority w:val="9"/>
    <w:semiHidden/>
    <w:rsid w:val="00930A8D"/>
    <w:rPr>
      <w:b/>
      <w:i/>
      <w:smallCaps/>
      <w:color w:val="943634"/>
    </w:rPr>
  </w:style>
  <w:style w:type="character" w:customStyle="1" w:styleId="Nagwek9Znak">
    <w:name w:val="Nagłówek 9 Znak"/>
    <w:link w:val="Nagwek9"/>
    <w:uiPriority w:val="9"/>
    <w:semiHidden/>
    <w:rsid w:val="00930A8D"/>
    <w:rPr>
      <w:b/>
      <w:i/>
      <w:smallCaps/>
      <w:color w:val="622423"/>
    </w:rPr>
  </w:style>
  <w:style w:type="paragraph" w:styleId="Legenda">
    <w:name w:val="caption"/>
    <w:basedOn w:val="Normalny"/>
    <w:next w:val="Normalny"/>
    <w:uiPriority w:val="35"/>
    <w:semiHidden/>
    <w:unhideWhenUsed/>
    <w:qFormat/>
    <w:rsid w:val="00930A8D"/>
    <w:rPr>
      <w:b/>
      <w:bCs/>
      <w:caps/>
      <w:sz w:val="16"/>
      <w:szCs w:val="18"/>
    </w:rPr>
  </w:style>
  <w:style w:type="paragraph" w:styleId="Tytu">
    <w:name w:val="Title"/>
    <w:basedOn w:val="Normalny"/>
    <w:next w:val="Normalny"/>
    <w:link w:val="TytuZnak"/>
    <w:uiPriority w:val="10"/>
    <w:qFormat/>
    <w:rsid w:val="00BF4ABF"/>
    <w:pPr>
      <w:jc w:val="center"/>
    </w:pPr>
    <w:rPr>
      <w:b/>
      <w:szCs w:val="24"/>
    </w:rPr>
  </w:style>
  <w:style w:type="character" w:customStyle="1" w:styleId="TytuZnak">
    <w:name w:val="Tytuł Znak"/>
    <w:link w:val="Tytu"/>
    <w:uiPriority w:val="10"/>
    <w:rsid w:val="00BF4ABF"/>
    <w:rPr>
      <w:rFonts w:ascii="Times New Roman" w:hAnsi="Times New Roman"/>
      <w:b/>
      <w:sz w:val="24"/>
      <w:szCs w:val="24"/>
    </w:rPr>
  </w:style>
  <w:style w:type="paragraph" w:styleId="Podtytu">
    <w:name w:val="Subtitle"/>
    <w:basedOn w:val="Normalny"/>
    <w:next w:val="Normalny"/>
    <w:link w:val="PodtytuZnak"/>
    <w:uiPriority w:val="11"/>
    <w:rsid w:val="00930A8D"/>
    <w:pPr>
      <w:spacing w:after="720"/>
      <w:jc w:val="right"/>
    </w:pPr>
    <w:rPr>
      <w:rFonts w:ascii="Cambria" w:hAnsi="Cambria"/>
      <w:szCs w:val="22"/>
    </w:rPr>
  </w:style>
  <w:style w:type="character" w:customStyle="1" w:styleId="PodtytuZnak">
    <w:name w:val="Podtytuł Znak"/>
    <w:link w:val="Podtytu"/>
    <w:uiPriority w:val="11"/>
    <w:rsid w:val="00930A8D"/>
    <w:rPr>
      <w:rFonts w:ascii="Cambria" w:eastAsia="Times New Roman" w:hAnsi="Cambria" w:cs="Times New Roman"/>
      <w:szCs w:val="22"/>
    </w:rPr>
  </w:style>
  <w:style w:type="character" w:styleId="Pogrubienie">
    <w:name w:val="Strong"/>
    <w:uiPriority w:val="22"/>
    <w:qFormat/>
    <w:rsid w:val="00930A8D"/>
    <w:rPr>
      <w:b/>
      <w:color w:val="C0504D"/>
    </w:rPr>
  </w:style>
  <w:style w:type="paragraph" w:styleId="Bezodstpw">
    <w:name w:val="No Spacing"/>
    <w:basedOn w:val="Normalny"/>
    <w:link w:val="BezodstpwZnak"/>
    <w:uiPriority w:val="1"/>
    <w:qFormat/>
    <w:rsid w:val="00930A8D"/>
    <w:pPr>
      <w:spacing w:after="0"/>
    </w:pPr>
  </w:style>
  <w:style w:type="character" w:customStyle="1" w:styleId="BezodstpwZnak">
    <w:name w:val="Bez odstępów Znak"/>
    <w:link w:val="Bezodstpw"/>
    <w:uiPriority w:val="1"/>
    <w:rsid w:val="00930A8D"/>
  </w:style>
  <w:style w:type="paragraph" w:styleId="Cytat">
    <w:name w:val="Quote"/>
    <w:basedOn w:val="Normalny"/>
    <w:next w:val="Normalny"/>
    <w:link w:val="CytatZnak"/>
    <w:uiPriority w:val="29"/>
    <w:rsid w:val="00930A8D"/>
    <w:rPr>
      <w:i/>
    </w:rPr>
  </w:style>
  <w:style w:type="character" w:customStyle="1" w:styleId="CytatZnak">
    <w:name w:val="Cytat Znak"/>
    <w:link w:val="Cytat"/>
    <w:uiPriority w:val="29"/>
    <w:rsid w:val="00930A8D"/>
    <w:rPr>
      <w:i/>
    </w:rPr>
  </w:style>
  <w:style w:type="paragraph" w:styleId="Cytatintensywny">
    <w:name w:val="Intense Quote"/>
    <w:basedOn w:val="Normalny"/>
    <w:next w:val="Normalny"/>
    <w:link w:val="CytatintensywnyZnak"/>
    <w:uiPriority w:val="30"/>
    <w:rsid w:val="00930A8D"/>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ytatintensywnyZnak">
    <w:name w:val="Cytat intensywny Znak"/>
    <w:link w:val="Cytatintensywny"/>
    <w:uiPriority w:val="30"/>
    <w:rsid w:val="00930A8D"/>
    <w:rPr>
      <w:b/>
      <w:i/>
      <w:color w:val="FFFFFF"/>
      <w:shd w:val="clear" w:color="auto" w:fill="C0504D"/>
    </w:rPr>
  </w:style>
  <w:style w:type="character" w:styleId="Wyrnieniedelikatne">
    <w:name w:val="Subtle Emphasis"/>
    <w:uiPriority w:val="19"/>
    <w:rsid w:val="00930A8D"/>
    <w:rPr>
      <w:i/>
    </w:rPr>
  </w:style>
  <w:style w:type="character" w:styleId="Wyrnienieintensywne">
    <w:name w:val="Intense Emphasis"/>
    <w:uiPriority w:val="21"/>
    <w:rsid w:val="00930A8D"/>
    <w:rPr>
      <w:b/>
      <w:i/>
      <w:color w:val="C0504D"/>
      <w:spacing w:val="10"/>
    </w:rPr>
  </w:style>
  <w:style w:type="character" w:styleId="Odwoaniedelikatne">
    <w:name w:val="Subtle Reference"/>
    <w:uiPriority w:val="31"/>
    <w:rsid w:val="00930A8D"/>
    <w:rPr>
      <w:b/>
    </w:rPr>
  </w:style>
  <w:style w:type="character" w:styleId="Odwoanieintensywne">
    <w:name w:val="Intense Reference"/>
    <w:uiPriority w:val="32"/>
    <w:rsid w:val="00930A8D"/>
    <w:rPr>
      <w:b/>
      <w:bCs/>
      <w:smallCaps/>
      <w:spacing w:val="5"/>
      <w:sz w:val="22"/>
      <w:szCs w:val="22"/>
      <w:u w:val="single"/>
    </w:rPr>
  </w:style>
  <w:style w:type="character" w:styleId="Tytuksiki">
    <w:name w:val="Book Title"/>
    <w:uiPriority w:val="33"/>
    <w:rsid w:val="00930A8D"/>
    <w:rPr>
      <w:rFonts w:ascii="Cambria" w:eastAsia="Times New Roman" w:hAnsi="Cambria" w:cs="Times New Roman"/>
      <w:i/>
      <w:iCs/>
      <w:sz w:val="20"/>
      <w:szCs w:val="20"/>
    </w:rPr>
  </w:style>
  <w:style w:type="table" w:styleId="Tabela-Siatka">
    <w:name w:val="Table Grid"/>
    <w:basedOn w:val="Standardowy"/>
    <w:uiPriority w:val="59"/>
    <w:rsid w:val="00EB3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ny"/>
    <w:rsid w:val="00572B62"/>
    <w:pPr>
      <w:spacing w:before="240" w:beforeAutospacing="0" w:after="120" w:afterAutospacing="0"/>
      <w:jc w:val="center"/>
    </w:pPr>
    <w:rPr>
      <w:b/>
      <w:bCs/>
      <w:szCs w:val="24"/>
    </w:rPr>
  </w:style>
  <w:style w:type="character" w:customStyle="1" w:styleId="ListDash3Char">
    <w:name w:val="List Dash 3 Char"/>
    <w:link w:val="ListDash3"/>
    <w:rsid w:val="00645266"/>
    <w:rPr>
      <w:rFonts w:ascii="Times New Roman" w:hAnsi="Times New Roman"/>
      <w:sz w:val="24"/>
      <w:lang w:eastAsia="en-US" w:bidi="ar-SA"/>
    </w:rPr>
  </w:style>
  <w:style w:type="paragraph" w:customStyle="1" w:styleId="1">
    <w:name w:val="1"/>
    <w:basedOn w:val="Normalny"/>
    <w:link w:val="Odwoanieprzypisudolnego"/>
    <w:uiPriority w:val="99"/>
    <w:qFormat/>
    <w:rsid w:val="008A0EB5"/>
    <w:pPr>
      <w:spacing w:before="0" w:beforeAutospacing="0" w:after="160" w:afterAutospacing="0" w:line="240" w:lineRule="exact"/>
      <w:jc w:val="left"/>
    </w:pPr>
    <w:rPr>
      <w:rFonts w:ascii="Calibri" w:hAnsi="Calibri"/>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3361">
      <w:bodyDiv w:val="1"/>
      <w:marLeft w:val="0"/>
      <w:marRight w:val="0"/>
      <w:marTop w:val="0"/>
      <w:marBottom w:val="0"/>
      <w:divBdr>
        <w:top w:val="none" w:sz="0" w:space="0" w:color="auto"/>
        <w:left w:val="none" w:sz="0" w:space="0" w:color="auto"/>
        <w:bottom w:val="none" w:sz="0" w:space="0" w:color="auto"/>
        <w:right w:val="none" w:sz="0" w:space="0" w:color="auto"/>
      </w:divBdr>
    </w:div>
    <w:div w:id="161087575">
      <w:bodyDiv w:val="1"/>
      <w:marLeft w:val="0"/>
      <w:marRight w:val="0"/>
      <w:marTop w:val="0"/>
      <w:marBottom w:val="0"/>
      <w:divBdr>
        <w:top w:val="none" w:sz="0" w:space="0" w:color="auto"/>
        <w:left w:val="none" w:sz="0" w:space="0" w:color="auto"/>
        <w:bottom w:val="none" w:sz="0" w:space="0" w:color="auto"/>
        <w:right w:val="none" w:sz="0" w:space="0" w:color="auto"/>
      </w:divBdr>
    </w:div>
    <w:div w:id="288895801">
      <w:bodyDiv w:val="1"/>
      <w:marLeft w:val="0"/>
      <w:marRight w:val="0"/>
      <w:marTop w:val="0"/>
      <w:marBottom w:val="0"/>
      <w:divBdr>
        <w:top w:val="none" w:sz="0" w:space="0" w:color="auto"/>
        <w:left w:val="none" w:sz="0" w:space="0" w:color="auto"/>
        <w:bottom w:val="none" w:sz="0" w:space="0" w:color="auto"/>
        <w:right w:val="none" w:sz="0" w:space="0" w:color="auto"/>
      </w:divBdr>
    </w:div>
    <w:div w:id="360321762">
      <w:bodyDiv w:val="1"/>
      <w:marLeft w:val="0"/>
      <w:marRight w:val="0"/>
      <w:marTop w:val="0"/>
      <w:marBottom w:val="0"/>
      <w:divBdr>
        <w:top w:val="none" w:sz="0" w:space="0" w:color="auto"/>
        <w:left w:val="none" w:sz="0" w:space="0" w:color="auto"/>
        <w:bottom w:val="none" w:sz="0" w:space="0" w:color="auto"/>
        <w:right w:val="none" w:sz="0" w:space="0" w:color="auto"/>
      </w:divBdr>
      <w:divsChild>
        <w:div w:id="1270354132">
          <w:marLeft w:val="0"/>
          <w:marRight w:val="0"/>
          <w:marTop w:val="0"/>
          <w:marBottom w:val="0"/>
          <w:divBdr>
            <w:top w:val="none" w:sz="0" w:space="0" w:color="auto"/>
            <w:left w:val="none" w:sz="0" w:space="0" w:color="auto"/>
            <w:bottom w:val="none" w:sz="0" w:space="0" w:color="auto"/>
            <w:right w:val="none" w:sz="0" w:space="0" w:color="auto"/>
          </w:divBdr>
          <w:divsChild>
            <w:div w:id="1759326787">
              <w:marLeft w:val="0"/>
              <w:marRight w:val="0"/>
              <w:marTop w:val="0"/>
              <w:marBottom w:val="0"/>
              <w:divBdr>
                <w:top w:val="none" w:sz="0" w:space="0" w:color="auto"/>
                <w:left w:val="none" w:sz="0" w:space="0" w:color="auto"/>
                <w:bottom w:val="none" w:sz="0" w:space="0" w:color="auto"/>
                <w:right w:val="none" w:sz="0" w:space="0" w:color="auto"/>
              </w:divBdr>
              <w:divsChild>
                <w:div w:id="1611283036">
                  <w:marLeft w:val="0"/>
                  <w:marRight w:val="0"/>
                  <w:marTop w:val="0"/>
                  <w:marBottom w:val="0"/>
                  <w:divBdr>
                    <w:top w:val="none" w:sz="0" w:space="0" w:color="auto"/>
                    <w:left w:val="none" w:sz="0" w:space="0" w:color="auto"/>
                    <w:bottom w:val="none" w:sz="0" w:space="0" w:color="auto"/>
                    <w:right w:val="none" w:sz="0" w:space="0" w:color="auto"/>
                  </w:divBdr>
                  <w:divsChild>
                    <w:div w:id="1380930675">
                      <w:marLeft w:val="0"/>
                      <w:marRight w:val="0"/>
                      <w:marTop w:val="0"/>
                      <w:marBottom w:val="0"/>
                      <w:divBdr>
                        <w:top w:val="none" w:sz="0" w:space="0" w:color="auto"/>
                        <w:left w:val="none" w:sz="0" w:space="0" w:color="auto"/>
                        <w:bottom w:val="none" w:sz="0" w:space="0" w:color="auto"/>
                        <w:right w:val="none" w:sz="0" w:space="0" w:color="auto"/>
                      </w:divBdr>
                      <w:divsChild>
                        <w:div w:id="867527720">
                          <w:marLeft w:val="0"/>
                          <w:marRight w:val="0"/>
                          <w:marTop w:val="0"/>
                          <w:marBottom w:val="0"/>
                          <w:divBdr>
                            <w:top w:val="none" w:sz="0" w:space="0" w:color="auto"/>
                            <w:left w:val="none" w:sz="0" w:space="0" w:color="auto"/>
                            <w:bottom w:val="none" w:sz="0" w:space="0" w:color="auto"/>
                            <w:right w:val="none" w:sz="0" w:space="0" w:color="auto"/>
                          </w:divBdr>
                          <w:divsChild>
                            <w:div w:id="61802428">
                              <w:marLeft w:val="0"/>
                              <w:marRight w:val="0"/>
                              <w:marTop w:val="0"/>
                              <w:marBottom w:val="0"/>
                              <w:divBdr>
                                <w:top w:val="none" w:sz="0" w:space="0" w:color="auto"/>
                                <w:left w:val="none" w:sz="0" w:space="0" w:color="auto"/>
                                <w:bottom w:val="none" w:sz="0" w:space="0" w:color="auto"/>
                                <w:right w:val="none" w:sz="0" w:space="0" w:color="auto"/>
                              </w:divBdr>
                              <w:divsChild>
                                <w:div w:id="771054662">
                                  <w:marLeft w:val="0"/>
                                  <w:marRight w:val="0"/>
                                  <w:marTop w:val="0"/>
                                  <w:marBottom w:val="0"/>
                                  <w:divBdr>
                                    <w:top w:val="none" w:sz="0" w:space="0" w:color="auto"/>
                                    <w:left w:val="none" w:sz="0" w:space="0" w:color="auto"/>
                                    <w:bottom w:val="none" w:sz="0" w:space="0" w:color="auto"/>
                                    <w:right w:val="none" w:sz="0" w:space="0" w:color="auto"/>
                                  </w:divBdr>
                                  <w:divsChild>
                                    <w:div w:id="1137457294">
                                      <w:marLeft w:val="0"/>
                                      <w:marRight w:val="0"/>
                                      <w:marTop w:val="0"/>
                                      <w:marBottom w:val="0"/>
                                      <w:divBdr>
                                        <w:top w:val="none" w:sz="0" w:space="0" w:color="auto"/>
                                        <w:left w:val="none" w:sz="0" w:space="0" w:color="auto"/>
                                        <w:bottom w:val="none" w:sz="0" w:space="0" w:color="auto"/>
                                        <w:right w:val="none" w:sz="0" w:space="0" w:color="auto"/>
                                      </w:divBdr>
                                      <w:divsChild>
                                        <w:div w:id="1977560102">
                                          <w:marLeft w:val="0"/>
                                          <w:marRight w:val="0"/>
                                          <w:marTop w:val="0"/>
                                          <w:marBottom w:val="0"/>
                                          <w:divBdr>
                                            <w:top w:val="none" w:sz="0" w:space="0" w:color="auto"/>
                                            <w:left w:val="none" w:sz="0" w:space="0" w:color="auto"/>
                                            <w:bottom w:val="none" w:sz="0" w:space="0" w:color="auto"/>
                                            <w:right w:val="none" w:sz="0" w:space="0" w:color="auto"/>
                                          </w:divBdr>
                                          <w:divsChild>
                                            <w:div w:id="1735006773">
                                              <w:marLeft w:val="8"/>
                                              <w:marRight w:val="0"/>
                                              <w:marTop w:val="2"/>
                                              <w:marBottom w:val="0"/>
                                              <w:divBdr>
                                                <w:top w:val="none" w:sz="0" w:space="0" w:color="auto"/>
                                                <w:left w:val="none" w:sz="0" w:space="0" w:color="auto"/>
                                                <w:bottom w:val="none" w:sz="0" w:space="0" w:color="auto"/>
                                                <w:right w:val="none" w:sz="0" w:space="0" w:color="auto"/>
                                              </w:divBdr>
                                              <w:divsChild>
                                                <w:div w:id="366758316">
                                                  <w:marLeft w:val="0"/>
                                                  <w:marRight w:val="1"/>
                                                  <w:marTop w:val="225"/>
                                                  <w:marBottom w:val="375"/>
                                                  <w:divBdr>
                                                    <w:top w:val="none" w:sz="0" w:space="0" w:color="auto"/>
                                                    <w:left w:val="none" w:sz="0" w:space="0" w:color="auto"/>
                                                    <w:bottom w:val="none" w:sz="0" w:space="0" w:color="auto"/>
                                                    <w:right w:val="none" w:sz="0" w:space="0" w:color="auto"/>
                                                  </w:divBdr>
                                                </w:div>
                                                <w:div w:id="932861516">
                                                  <w:marLeft w:val="0"/>
                                                  <w:marRight w:val="1"/>
                                                  <w:marTop w:val="225"/>
                                                  <w:marBottom w:val="375"/>
                                                  <w:divBdr>
                                                    <w:top w:val="none" w:sz="0" w:space="0" w:color="auto"/>
                                                    <w:left w:val="none" w:sz="0" w:space="0" w:color="auto"/>
                                                    <w:bottom w:val="none" w:sz="0" w:space="0" w:color="auto"/>
                                                    <w:right w:val="none" w:sz="0" w:space="0" w:color="auto"/>
                                                  </w:divBdr>
                                                </w:div>
                                                <w:div w:id="1299653024">
                                                  <w:marLeft w:val="0"/>
                                                  <w:marRight w:val="1"/>
                                                  <w:marTop w:val="225"/>
                                                  <w:marBottom w:val="375"/>
                                                  <w:divBdr>
                                                    <w:top w:val="none" w:sz="0" w:space="0" w:color="auto"/>
                                                    <w:left w:val="none" w:sz="0" w:space="0" w:color="auto"/>
                                                    <w:bottom w:val="none" w:sz="0" w:space="0" w:color="auto"/>
                                                    <w:right w:val="none" w:sz="0" w:space="0" w:color="auto"/>
                                                  </w:divBdr>
                                                </w:div>
                                                <w:div w:id="2095397737">
                                                  <w:marLeft w:val="0"/>
                                                  <w:marRight w:val="1"/>
                                                  <w:marTop w:val="22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9298983">
      <w:bodyDiv w:val="1"/>
      <w:marLeft w:val="0"/>
      <w:marRight w:val="0"/>
      <w:marTop w:val="0"/>
      <w:marBottom w:val="0"/>
      <w:divBdr>
        <w:top w:val="none" w:sz="0" w:space="0" w:color="auto"/>
        <w:left w:val="none" w:sz="0" w:space="0" w:color="auto"/>
        <w:bottom w:val="none" w:sz="0" w:space="0" w:color="auto"/>
        <w:right w:val="none" w:sz="0" w:space="0" w:color="auto"/>
      </w:divBdr>
    </w:div>
    <w:div w:id="624040588">
      <w:bodyDiv w:val="1"/>
      <w:marLeft w:val="0"/>
      <w:marRight w:val="0"/>
      <w:marTop w:val="0"/>
      <w:marBottom w:val="0"/>
      <w:divBdr>
        <w:top w:val="none" w:sz="0" w:space="0" w:color="auto"/>
        <w:left w:val="none" w:sz="0" w:space="0" w:color="auto"/>
        <w:bottom w:val="none" w:sz="0" w:space="0" w:color="auto"/>
        <w:right w:val="none" w:sz="0" w:space="0" w:color="auto"/>
      </w:divBdr>
    </w:div>
    <w:div w:id="761805002">
      <w:bodyDiv w:val="1"/>
      <w:marLeft w:val="0"/>
      <w:marRight w:val="0"/>
      <w:marTop w:val="0"/>
      <w:marBottom w:val="0"/>
      <w:divBdr>
        <w:top w:val="none" w:sz="0" w:space="0" w:color="auto"/>
        <w:left w:val="none" w:sz="0" w:space="0" w:color="auto"/>
        <w:bottom w:val="none" w:sz="0" w:space="0" w:color="auto"/>
        <w:right w:val="none" w:sz="0" w:space="0" w:color="auto"/>
      </w:divBdr>
      <w:divsChild>
        <w:div w:id="184901810">
          <w:marLeft w:val="706"/>
          <w:marRight w:val="0"/>
          <w:marTop w:val="106"/>
          <w:marBottom w:val="106"/>
          <w:divBdr>
            <w:top w:val="none" w:sz="0" w:space="0" w:color="auto"/>
            <w:left w:val="none" w:sz="0" w:space="0" w:color="auto"/>
            <w:bottom w:val="none" w:sz="0" w:space="0" w:color="auto"/>
            <w:right w:val="none" w:sz="0" w:space="0" w:color="auto"/>
          </w:divBdr>
        </w:div>
        <w:div w:id="241261218">
          <w:marLeft w:val="1440"/>
          <w:marRight w:val="0"/>
          <w:marTop w:val="96"/>
          <w:marBottom w:val="96"/>
          <w:divBdr>
            <w:top w:val="none" w:sz="0" w:space="0" w:color="auto"/>
            <w:left w:val="none" w:sz="0" w:space="0" w:color="auto"/>
            <w:bottom w:val="none" w:sz="0" w:space="0" w:color="auto"/>
            <w:right w:val="none" w:sz="0" w:space="0" w:color="auto"/>
          </w:divBdr>
        </w:div>
        <w:div w:id="2126921254">
          <w:marLeft w:val="1440"/>
          <w:marRight w:val="0"/>
          <w:marTop w:val="96"/>
          <w:marBottom w:val="96"/>
          <w:divBdr>
            <w:top w:val="none" w:sz="0" w:space="0" w:color="auto"/>
            <w:left w:val="none" w:sz="0" w:space="0" w:color="auto"/>
            <w:bottom w:val="none" w:sz="0" w:space="0" w:color="auto"/>
            <w:right w:val="none" w:sz="0" w:space="0" w:color="auto"/>
          </w:divBdr>
        </w:div>
      </w:divsChild>
    </w:div>
    <w:div w:id="1040278092">
      <w:bodyDiv w:val="1"/>
      <w:marLeft w:val="0"/>
      <w:marRight w:val="0"/>
      <w:marTop w:val="0"/>
      <w:marBottom w:val="0"/>
      <w:divBdr>
        <w:top w:val="none" w:sz="0" w:space="0" w:color="auto"/>
        <w:left w:val="none" w:sz="0" w:space="0" w:color="auto"/>
        <w:bottom w:val="none" w:sz="0" w:space="0" w:color="auto"/>
        <w:right w:val="none" w:sz="0" w:space="0" w:color="auto"/>
      </w:divBdr>
    </w:div>
    <w:div w:id="1208225535">
      <w:bodyDiv w:val="1"/>
      <w:marLeft w:val="0"/>
      <w:marRight w:val="0"/>
      <w:marTop w:val="0"/>
      <w:marBottom w:val="0"/>
      <w:divBdr>
        <w:top w:val="none" w:sz="0" w:space="0" w:color="auto"/>
        <w:left w:val="none" w:sz="0" w:space="0" w:color="auto"/>
        <w:bottom w:val="none" w:sz="0" w:space="0" w:color="auto"/>
        <w:right w:val="none" w:sz="0" w:space="0" w:color="auto"/>
      </w:divBdr>
    </w:div>
    <w:div w:id="1485125123">
      <w:bodyDiv w:val="1"/>
      <w:marLeft w:val="0"/>
      <w:marRight w:val="0"/>
      <w:marTop w:val="0"/>
      <w:marBottom w:val="0"/>
      <w:divBdr>
        <w:top w:val="none" w:sz="0" w:space="0" w:color="auto"/>
        <w:left w:val="none" w:sz="0" w:space="0" w:color="auto"/>
        <w:bottom w:val="none" w:sz="0" w:space="0" w:color="auto"/>
        <w:right w:val="none" w:sz="0" w:space="0" w:color="auto"/>
      </w:divBdr>
    </w:div>
    <w:div w:id="1795636340">
      <w:bodyDiv w:val="1"/>
      <w:marLeft w:val="0"/>
      <w:marRight w:val="0"/>
      <w:marTop w:val="0"/>
      <w:marBottom w:val="0"/>
      <w:divBdr>
        <w:top w:val="none" w:sz="0" w:space="0" w:color="auto"/>
        <w:left w:val="none" w:sz="0" w:space="0" w:color="auto"/>
        <w:bottom w:val="none" w:sz="0" w:space="0" w:color="auto"/>
        <w:right w:val="none" w:sz="0" w:space="0" w:color="auto"/>
      </w:divBdr>
    </w:div>
    <w:div w:id="1865243611">
      <w:bodyDiv w:val="1"/>
      <w:marLeft w:val="390"/>
      <w:marRight w:val="39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09c8edfa-0c89-4db5-84aa-c604a671fbfe">Grant agreements</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2ff164c7110da05aa7bef6ce858b3aa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3edf6479cbf684ab3bf71b7bc5f562e7"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CA554-FBCB-46A9-A983-F6820177E3E5}">
  <ds:schemaRefs>
    <ds:schemaRef ds:uri="http://schemas.microsoft.com/sharepoint/v3/contenttype/forms"/>
  </ds:schemaRefs>
</ds:datastoreItem>
</file>

<file path=customXml/itemProps2.xml><?xml version="1.0" encoding="utf-8"?>
<ds:datastoreItem xmlns:ds="http://schemas.openxmlformats.org/officeDocument/2006/customXml" ds:itemID="{78D518E1-19F0-4025-B4D2-80E118C5BABF}">
  <ds:schemaRefs>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schemas.microsoft.com/sharepoint/v3"/>
    <ds:schemaRef ds:uri="09c8edfa-0c89-4db5-84aa-c604a671fbfe"/>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7EC6787F-5095-40FC-8AEE-20C6FB275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9D8B51-CDC9-4545-8874-092ECCB9D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Template>
  <TotalTime>0</TotalTime>
  <Pages>46</Pages>
  <Words>14950</Words>
  <Characters>89702</Characters>
  <Application>Microsoft Office Word</Application>
  <DocSecurity>0</DocSecurity>
  <Lines>747</Lines>
  <Paragraphs>208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GRANT AGREEMENT FOR AN ACTION WITH MULTIPLE BENEFICIARIES</vt:lpstr>
      <vt:lpstr>GRANT AGREEMENT FOR AN ACTION WITH MULTIPLE BENEFICIARIES</vt:lpstr>
    </vt:vector>
  </TitlesOfParts>
  <Company>European Commission</Company>
  <LinksUpToDate>false</LinksUpToDate>
  <CharactersWithSpaces>104444</CharactersWithSpaces>
  <SharedDoc>false</SharedDoc>
  <HLinks>
    <vt:vector size="858" baseType="variant">
      <vt:variant>
        <vt:i4>1769522</vt:i4>
      </vt:variant>
      <vt:variant>
        <vt:i4>839</vt:i4>
      </vt:variant>
      <vt:variant>
        <vt:i4>0</vt:i4>
      </vt:variant>
      <vt:variant>
        <vt:i4>5</vt:i4>
      </vt:variant>
      <vt:variant>
        <vt:lpwstr/>
      </vt:variant>
      <vt:variant>
        <vt:lpwstr>_Toc441509740</vt:lpwstr>
      </vt:variant>
      <vt:variant>
        <vt:i4>1835058</vt:i4>
      </vt:variant>
      <vt:variant>
        <vt:i4>833</vt:i4>
      </vt:variant>
      <vt:variant>
        <vt:i4>0</vt:i4>
      </vt:variant>
      <vt:variant>
        <vt:i4>5</vt:i4>
      </vt:variant>
      <vt:variant>
        <vt:lpwstr/>
      </vt:variant>
      <vt:variant>
        <vt:lpwstr>_Toc441509739</vt:lpwstr>
      </vt:variant>
      <vt:variant>
        <vt:i4>1835058</vt:i4>
      </vt:variant>
      <vt:variant>
        <vt:i4>827</vt:i4>
      </vt:variant>
      <vt:variant>
        <vt:i4>0</vt:i4>
      </vt:variant>
      <vt:variant>
        <vt:i4>5</vt:i4>
      </vt:variant>
      <vt:variant>
        <vt:lpwstr/>
      </vt:variant>
      <vt:variant>
        <vt:lpwstr>_Toc441509738</vt:lpwstr>
      </vt:variant>
      <vt:variant>
        <vt:i4>1835058</vt:i4>
      </vt:variant>
      <vt:variant>
        <vt:i4>821</vt:i4>
      </vt:variant>
      <vt:variant>
        <vt:i4>0</vt:i4>
      </vt:variant>
      <vt:variant>
        <vt:i4>5</vt:i4>
      </vt:variant>
      <vt:variant>
        <vt:lpwstr/>
      </vt:variant>
      <vt:variant>
        <vt:lpwstr>_Toc441509737</vt:lpwstr>
      </vt:variant>
      <vt:variant>
        <vt:i4>1835058</vt:i4>
      </vt:variant>
      <vt:variant>
        <vt:i4>815</vt:i4>
      </vt:variant>
      <vt:variant>
        <vt:i4>0</vt:i4>
      </vt:variant>
      <vt:variant>
        <vt:i4>5</vt:i4>
      </vt:variant>
      <vt:variant>
        <vt:lpwstr/>
      </vt:variant>
      <vt:variant>
        <vt:lpwstr>_Toc441509736</vt:lpwstr>
      </vt:variant>
      <vt:variant>
        <vt:i4>1835058</vt:i4>
      </vt:variant>
      <vt:variant>
        <vt:i4>809</vt:i4>
      </vt:variant>
      <vt:variant>
        <vt:i4>0</vt:i4>
      </vt:variant>
      <vt:variant>
        <vt:i4>5</vt:i4>
      </vt:variant>
      <vt:variant>
        <vt:lpwstr/>
      </vt:variant>
      <vt:variant>
        <vt:lpwstr>_Toc441509735</vt:lpwstr>
      </vt:variant>
      <vt:variant>
        <vt:i4>1835058</vt:i4>
      </vt:variant>
      <vt:variant>
        <vt:i4>803</vt:i4>
      </vt:variant>
      <vt:variant>
        <vt:i4>0</vt:i4>
      </vt:variant>
      <vt:variant>
        <vt:i4>5</vt:i4>
      </vt:variant>
      <vt:variant>
        <vt:lpwstr/>
      </vt:variant>
      <vt:variant>
        <vt:lpwstr>_Toc441509734</vt:lpwstr>
      </vt:variant>
      <vt:variant>
        <vt:i4>1835058</vt:i4>
      </vt:variant>
      <vt:variant>
        <vt:i4>797</vt:i4>
      </vt:variant>
      <vt:variant>
        <vt:i4>0</vt:i4>
      </vt:variant>
      <vt:variant>
        <vt:i4>5</vt:i4>
      </vt:variant>
      <vt:variant>
        <vt:lpwstr/>
      </vt:variant>
      <vt:variant>
        <vt:lpwstr>_Toc441509733</vt:lpwstr>
      </vt:variant>
      <vt:variant>
        <vt:i4>1835058</vt:i4>
      </vt:variant>
      <vt:variant>
        <vt:i4>791</vt:i4>
      </vt:variant>
      <vt:variant>
        <vt:i4>0</vt:i4>
      </vt:variant>
      <vt:variant>
        <vt:i4>5</vt:i4>
      </vt:variant>
      <vt:variant>
        <vt:lpwstr/>
      </vt:variant>
      <vt:variant>
        <vt:lpwstr>_Toc441509732</vt:lpwstr>
      </vt:variant>
      <vt:variant>
        <vt:i4>1835058</vt:i4>
      </vt:variant>
      <vt:variant>
        <vt:i4>785</vt:i4>
      </vt:variant>
      <vt:variant>
        <vt:i4>0</vt:i4>
      </vt:variant>
      <vt:variant>
        <vt:i4>5</vt:i4>
      </vt:variant>
      <vt:variant>
        <vt:lpwstr/>
      </vt:variant>
      <vt:variant>
        <vt:lpwstr>_Toc441509731</vt:lpwstr>
      </vt:variant>
      <vt:variant>
        <vt:i4>1835058</vt:i4>
      </vt:variant>
      <vt:variant>
        <vt:i4>779</vt:i4>
      </vt:variant>
      <vt:variant>
        <vt:i4>0</vt:i4>
      </vt:variant>
      <vt:variant>
        <vt:i4>5</vt:i4>
      </vt:variant>
      <vt:variant>
        <vt:lpwstr/>
      </vt:variant>
      <vt:variant>
        <vt:lpwstr>_Toc441509730</vt:lpwstr>
      </vt:variant>
      <vt:variant>
        <vt:i4>1900594</vt:i4>
      </vt:variant>
      <vt:variant>
        <vt:i4>773</vt:i4>
      </vt:variant>
      <vt:variant>
        <vt:i4>0</vt:i4>
      </vt:variant>
      <vt:variant>
        <vt:i4>5</vt:i4>
      </vt:variant>
      <vt:variant>
        <vt:lpwstr/>
      </vt:variant>
      <vt:variant>
        <vt:lpwstr>_Toc441509729</vt:lpwstr>
      </vt:variant>
      <vt:variant>
        <vt:i4>1900594</vt:i4>
      </vt:variant>
      <vt:variant>
        <vt:i4>767</vt:i4>
      </vt:variant>
      <vt:variant>
        <vt:i4>0</vt:i4>
      </vt:variant>
      <vt:variant>
        <vt:i4>5</vt:i4>
      </vt:variant>
      <vt:variant>
        <vt:lpwstr/>
      </vt:variant>
      <vt:variant>
        <vt:lpwstr>_Toc441509728</vt:lpwstr>
      </vt:variant>
      <vt:variant>
        <vt:i4>1900594</vt:i4>
      </vt:variant>
      <vt:variant>
        <vt:i4>761</vt:i4>
      </vt:variant>
      <vt:variant>
        <vt:i4>0</vt:i4>
      </vt:variant>
      <vt:variant>
        <vt:i4>5</vt:i4>
      </vt:variant>
      <vt:variant>
        <vt:lpwstr/>
      </vt:variant>
      <vt:variant>
        <vt:lpwstr>_Toc441509727</vt:lpwstr>
      </vt:variant>
      <vt:variant>
        <vt:i4>1900594</vt:i4>
      </vt:variant>
      <vt:variant>
        <vt:i4>755</vt:i4>
      </vt:variant>
      <vt:variant>
        <vt:i4>0</vt:i4>
      </vt:variant>
      <vt:variant>
        <vt:i4>5</vt:i4>
      </vt:variant>
      <vt:variant>
        <vt:lpwstr/>
      </vt:variant>
      <vt:variant>
        <vt:lpwstr>_Toc441509726</vt:lpwstr>
      </vt:variant>
      <vt:variant>
        <vt:i4>1900594</vt:i4>
      </vt:variant>
      <vt:variant>
        <vt:i4>749</vt:i4>
      </vt:variant>
      <vt:variant>
        <vt:i4>0</vt:i4>
      </vt:variant>
      <vt:variant>
        <vt:i4>5</vt:i4>
      </vt:variant>
      <vt:variant>
        <vt:lpwstr/>
      </vt:variant>
      <vt:variant>
        <vt:lpwstr>_Toc441509725</vt:lpwstr>
      </vt:variant>
      <vt:variant>
        <vt:i4>1900594</vt:i4>
      </vt:variant>
      <vt:variant>
        <vt:i4>743</vt:i4>
      </vt:variant>
      <vt:variant>
        <vt:i4>0</vt:i4>
      </vt:variant>
      <vt:variant>
        <vt:i4>5</vt:i4>
      </vt:variant>
      <vt:variant>
        <vt:lpwstr/>
      </vt:variant>
      <vt:variant>
        <vt:lpwstr>_Toc441509724</vt:lpwstr>
      </vt:variant>
      <vt:variant>
        <vt:i4>1900594</vt:i4>
      </vt:variant>
      <vt:variant>
        <vt:i4>737</vt:i4>
      </vt:variant>
      <vt:variant>
        <vt:i4>0</vt:i4>
      </vt:variant>
      <vt:variant>
        <vt:i4>5</vt:i4>
      </vt:variant>
      <vt:variant>
        <vt:lpwstr/>
      </vt:variant>
      <vt:variant>
        <vt:lpwstr>_Toc441509723</vt:lpwstr>
      </vt:variant>
      <vt:variant>
        <vt:i4>1900594</vt:i4>
      </vt:variant>
      <vt:variant>
        <vt:i4>731</vt:i4>
      </vt:variant>
      <vt:variant>
        <vt:i4>0</vt:i4>
      </vt:variant>
      <vt:variant>
        <vt:i4>5</vt:i4>
      </vt:variant>
      <vt:variant>
        <vt:lpwstr/>
      </vt:variant>
      <vt:variant>
        <vt:lpwstr>_Toc441509722</vt:lpwstr>
      </vt:variant>
      <vt:variant>
        <vt:i4>1900594</vt:i4>
      </vt:variant>
      <vt:variant>
        <vt:i4>725</vt:i4>
      </vt:variant>
      <vt:variant>
        <vt:i4>0</vt:i4>
      </vt:variant>
      <vt:variant>
        <vt:i4>5</vt:i4>
      </vt:variant>
      <vt:variant>
        <vt:lpwstr/>
      </vt:variant>
      <vt:variant>
        <vt:lpwstr>_Toc441509721</vt:lpwstr>
      </vt:variant>
      <vt:variant>
        <vt:i4>1900594</vt:i4>
      </vt:variant>
      <vt:variant>
        <vt:i4>719</vt:i4>
      </vt:variant>
      <vt:variant>
        <vt:i4>0</vt:i4>
      </vt:variant>
      <vt:variant>
        <vt:i4>5</vt:i4>
      </vt:variant>
      <vt:variant>
        <vt:lpwstr/>
      </vt:variant>
      <vt:variant>
        <vt:lpwstr>_Toc441509720</vt:lpwstr>
      </vt:variant>
      <vt:variant>
        <vt:i4>1966130</vt:i4>
      </vt:variant>
      <vt:variant>
        <vt:i4>713</vt:i4>
      </vt:variant>
      <vt:variant>
        <vt:i4>0</vt:i4>
      </vt:variant>
      <vt:variant>
        <vt:i4>5</vt:i4>
      </vt:variant>
      <vt:variant>
        <vt:lpwstr/>
      </vt:variant>
      <vt:variant>
        <vt:lpwstr>_Toc441509719</vt:lpwstr>
      </vt:variant>
      <vt:variant>
        <vt:i4>1966130</vt:i4>
      </vt:variant>
      <vt:variant>
        <vt:i4>707</vt:i4>
      </vt:variant>
      <vt:variant>
        <vt:i4>0</vt:i4>
      </vt:variant>
      <vt:variant>
        <vt:i4>5</vt:i4>
      </vt:variant>
      <vt:variant>
        <vt:lpwstr/>
      </vt:variant>
      <vt:variant>
        <vt:lpwstr>_Toc441509718</vt:lpwstr>
      </vt:variant>
      <vt:variant>
        <vt:i4>1966130</vt:i4>
      </vt:variant>
      <vt:variant>
        <vt:i4>701</vt:i4>
      </vt:variant>
      <vt:variant>
        <vt:i4>0</vt:i4>
      </vt:variant>
      <vt:variant>
        <vt:i4>5</vt:i4>
      </vt:variant>
      <vt:variant>
        <vt:lpwstr/>
      </vt:variant>
      <vt:variant>
        <vt:lpwstr>_Toc441509717</vt:lpwstr>
      </vt:variant>
      <vt:variant>
        <vt:i4>1966130</vt:i4>
      </vt:variant>
      <vt:variant>
        <vt:i4>695</vt:i4>
      </vt:variant>
      <vt:variant>
        <vt:i4>0</vt:i4>
      </vt:variant>
      <vt:variant>
        <vt:i4>5</vt:i4>
      </vt:variant>
      <vt:variant>
        <vt:lpwstr/>
      </vt:variant>
      <vt:variant>
        <vt:lpwstr>_Toc441509716</vt:lpwstr>
      </vt:variant>
      <vt:variant>
        <vt:i4>1966130</vt:i4>
      </vt:variant>
      <vt:variant>
        <vt:i4>689</vt:i4>
      </vt:variant>
      <vt:variant>
        <vt:i4>0</vt:i4>
      </vt:variant>
      <vt:variant>
        <vt:i4>5</vt:i4>
      </vt:variant>
      <vt:variant>
        <vt:lpwstr/>
      </vt:variant>
      <vt:variant>
        <vt:lpwstr>_Toc441509715</vt:lpwstr>
      </vt:variant>
      <vt:variant>
        <vt:i4>1966130</vt:i4>
      </vt:variant>
      <vt:variant>
        <vt:i4>683</vt:i4>
      </vt:variant>
      <vt:variant>
        <vt:i4>0</vt:i4>
      </vt:variant>
      <vt:variant>
        <vt:i4>5</vt:i4>
      </vt:variant>
      <vt:variant>
        <vt:lpwstr/>
      </vt:variant>
      <vt:variant>
        <vt:lpwstr>_Toc441509714</vt:lpwstr>
      </vt:variant>
      <vt:variant>
        <vt:i4>1966130</vt:i4>
      </vt:variant>
      <vt:variant>
        <vt:i4>677</vt:i4>
      </vt:variant>
      <vt:variant>
        <vt:i4>0</vt:i4>
      </vt:variant>
      <vt:variant>
        <vt:i4>5</vt:i4>
      </vt:variant>
      <vt:variant>
        <vt:lpwstr/>
      </vt:variant>
      <vt:variant>
        <vt:lpwstr>_Toc441509713</vt:lpwstr>
      </vt:variant>
      <vt:variant>
        <vt:i4>1966130</vt:i4>
      </vt:variant>
      <vt:variant>
        <vt:i4>671</vt:i4>
      </vt:variant>
      <vt:variant>
        <vt:i4>0</vt:i4>
      </vt:variant>
      <vt:variant>
        <vt:i4>5</vt:i4>
      </vt:variant>
      <vt:variant>
        <vt:lpwstr/>
      </vt:variant>
      <vt:variant>
        <vt:lpwstr>_Toc441509712</vt:lpwstr>
      </vt:variant>
      <vt:variant>
        <vt:i4>1966130</vt:i4>
      </vt:variant>
      <vt:variant>
        <vt:i4>665</vt:i4>
      </vt:variant>
      <vt:variant>
        <vt:i4>0</vt:i4>
      </vt:variant>
      <vt:variant>
        <vt:i4>5</vt:i4>
      </vt:variant>
      <vt:variant>
        <vt:lpwstr/>
      </vt:variant>
      <vt:variant>
        <vt:lpwstr>_Toc441509711</vt:lpwstr>
      </vt:variant>
      <vt:variant>
        <vt:i4>1966130</vt:i4>
      </vt:variant>
      <vt:variant>
        <vt:i4>659</vt:i4>
      </vt:variant>
      <vt:variant>
        <vt:i4>0</vt:i4>
      </vt:variant>
      <vt:variant>
        <vt:i4>5</vt:i4>
      </vt:variant>
      <vt:variant>
        <vt:lpwstr/>
      </vt:variant>
      <vt:variant>
        <vt:lpwstr>_Toc441509710</vt:lpwstr>
      </vt:variant>
      <vt:variant>
        <vt:i4>2031666</vt:i4>
      </vt:variant>
      <vt:variant>
        <vt:i4>653</vt:i4>
      </vt:variant>
      <vt:variant>
        <vt:i4>0</vt:i4>
      </vt:variant>
      <vt:variant>
        <vt:i4>5</vt:i4>
      </vt:variant>
      <vt:variant>
        <vt:lpwstr/>
      </vt:variant>
      <vt:variant>
        <vt:lpwstr>_Toc441509709</vt:lpwstr>
      </vt:variant>
      <vt:variant>
        <vt:i4>2031666</vt:i4>
      </vt:variant>
      <vt:variant>
        <vt:i4>647</vt:i4>
      </vt:variant>
      <vt:variant>
        <vt:i4>0</vt:i4>
      </vt:variant>
      <vt:variant>
        <vt:i4>5</vt:i4>
      </vt:variant>
      <vt:variant>
        <vt:lpwstr/>
      </vt:variant>
      <vt:variant>
        <vt:lpwstr>_Toc441509708</vt:lpwstr>
      </vt:variant>
      <vt:variant>
        <vt:i4>2031666</vt:i4>
      </vt:variant>
      <vt:variant>
        <vt:i4>641</vt:i4>
      </vt:variant>
      <vt:variant>
        <vt:i4>0</vt:i4>
      </vt:variant>
      <vt:variant>
        <vt:i4>5</vt:i4>
      </vt:variant>
      <vt:variant>
        <vt:lpwstr/>
      </vt:variant>
      <vt:variant>
        <vt:lpwstr>_Toc441509707</vt:lpwstr>
      </vt:variant>
      <vt:variant>
        <vt:i4>2031666</vt:i4>
      </vt:variant>
      <vt:variant>
        <vt:i4>635</vt:i4>
      </vt:variant>
      <vt:variant>
        <vt:i4>0</vt:i4>
      </vt:variant>
      <vt:variant>
        <vt:i4>5</vt:i4>
      </vt:variant>
      <vt:variant>
        <vt:lpwstr/>
      </vt:variant>
      <vt:variant>
        <vt:lpwstr>_Toc441509706</vt:lpwstr>
      </vt:variant>
      <vt:variant>
        <vt:i4>2031666</vt:i4>
      </vt:variant>
      <vt:variant>
        <vt:i4>629</vt:i4>
      </vt:variant>
      <vt:variant>
        <vt:i4>0</vt:i4>
      </vt:variant>
      <vt:variant>
        <vt:i4>5</vt:i4>
      </vt:variant>
      <vt:variant>
        <vt:lpwstr/>
      </vt:variant>
      <vt:variant>
        <vt:lpwstr>_Toc441509705</vt:lpwstr>
      </vt:variant>
      <vt:variant>
        <vt:i4>2031666</vt:i4>
      </vt:variant>
      <vt:variant>
        <vt:i4>623</vt:i4>
      </vt:variant>
      <vt:variant>
        <vt:i4>0</vt:i4>
      </vt:variant>
      <vt:variant>
        <vt:i4>5</vt:i4>
      </vt:variant>
      <vt:variant>
        <vt:lpwstr/>
      </vt:variant>
      <vt:variant>
        <vt:lpwstr>_Toc441509704</vt:lpwstr>
      </vt:variant>
      <vt:variant>
        <vt:i4>2031666</vt:i4>
      </vt:variant>
      <vt:variant>
        <vt:i4>617</vt:i4>
      </vt:variant>
      <vt:variant>
        <vt:i4>0</vt:i4>
      </vt:variant>
      <vt:variant>
        <vt:i4>5</vt:i4>
      </vt:variant>
      <vt:variant>
        <vt:lpwstr/>
      </vt:variant>
      <vt:variant>
        <vt:lpwstr>_Toc441509703</vt:lpwstr>
      </vt:variant>
      <vt:variant>
        <vt:i4>2031666</vt:i4>
      </vt:variant>
      <vt:variant>
        <vt:i4>611</vt:i4>
      </vt:variant>
      <vt:variant>
        <vt:i4>0</vt:i4>
      </vt:variant>
      <vt:variant>
        <vt:i4>5</vt:i4>
      </vt:variant>
      <vt:variant>
        <vt:lpwstr/>
      </vt:variant>
      <vt:variant>
        <vt:lpwstr>_Toc441509702</vt:lpwstr>
      </vt:variant>
      <vt:variant>
        <vt:i4>2031666</vt:i4>
      </vt:variant>
      <vt:variant>
        <vt:i4>605</vt:i4>
      </vt:variant>
      <vt:variant>
        <vt:i4>0</vt:i4>
      </vt:variant>
      <vt:variant>
        <vt:i4>5</vt:i4>
      </vt:variant>
      <vt:variant>
        <vt:lpwstr/>
      </vt:variant>
      <vt:variant>
        <vt:lpwstr>_Toc441509701</vt:lpwstr>
      </vt:variant>
      <vt:variant>
        <vt:i4>2031666</vt:i4>
      </vt:variant>
      <vt:variant>
        <vt:i4>599</vt:i4>
      </vt:variant>
      <vt:variant>
        <vt:i4>0</vt:i4>
      </vt:variant>
      <vt:variant>
        <vt:i4>5</vt:i4>
      </vt:variant>
      <vt:variant>
        <vt:lpwstr/>
      </vt:variant>
      <vt:variant>
        <vt:lpwstr>_Toc441509700</vt:lpwstr>
      </vt:variant>
      <vt:variant>
        <vt:i4>1441843</vt:i4>
      </vt:variant>
      <vt:variant>
        <vt:i4>593</vt:i4>
      </vt:variant>
      <vt:variant>
        <vt:i4>0</vt:i4>
      </vt:variant>
      <vt:variant>
        <vt:i4>5</vt:i4>
      </vt:variant>
      <vt:variant>
        <vt:lpwstr/>
      </vt:variant>
      <vt:variant>
        <vt:lpwstr>_Toc441509699</vt:lpwstr>
      </vt:variant>
      <vt:variant>
        <vt:i4>1441843</vt:i4>
      </vt:variant>
      <vt:variant>
        <vt:i4>587</vt:i4>
      </vt:variant>
      <vt:variant>
        <vt:i4>0</vt:i4>
      </vt:variant>
      <vt:variant>
        <vt:i4>5</vt:i4>
      </vt:variant>
      <vt:variant>
        <vt:lpwstr/>
      </vt:variant>
      <vt:variant>
        <vt:lpwstr>_Toc441509698</vt:lpwstr>
      </vt:variant>
      <vt:variant>
        <vt:i4>1441843</vt:i4>
      </vt:variant>
      <vt:variant>
        <vt:i4>581</vt:i4>
      </vt:variant>
      <vt:variant>
        <vt:i4>0</vt:i4>
      </vt:variant>
      <vt:variant>
        <vt:i4>5</vt:i4>
      </vt:variant>
      <vt:variant>
        <vt:lpwstr/>
      </vt:variant>
      <vt:variant>
        <vt:lpwstr>_Toc441509697</vt:lpwstr>
      </vt:variant>
      <vt:variant>
        <vt:i4>1441843</vt:i4>
      </vt:variant>
      <vt:variant>
        <vt:i4>575</vt:i4>
      </vt:variant>
      <vt:variant>
        <vt:i4>0</vt:i4>
      </vt:variant>
      <vt:variant>
        <vt:i4>5</vt:i4>
      </vt:variant>
      <vt:variant>
        <vt:lpwstr/>
      </vt:variant>
      <vt:variant>
        <vt:lpwstr>_Toc441509696</vt:lpwstr>
      </vt:variant>
      <vt:variant>
        <vt:i4>1441843</vt:i4>
      </vt:variant>
      <vt:variant>
        <vt:i4>569</vt:i4>
      </vt:variant>
      <vt:variant>
        <vt:i4>0</vt:i4>
      </vt:variant>
      <vt:variant>
        <vt:i4>5</vt:i4>
      </vt:variant>
      <vt:variant>
        <vt:lpwstr/>
      </vt:variant>
      <vt:variant>
        <vt:lpwstr>_Toc441509695</vt:lpwstr>
      </vt:variant>
      <vt:variant>
        <vt:i4>1441843</vt:i4>
      </vt:variant>
      <vt:variant>
        <vt:i4>563</vt:i4>
      </vt:variant>
      <vt:variant>
        <vt:i4>0</vt:i4>
      </vt:variant>
      <vt:variant>
        <vt:i4>5</vt:i4>
      </vt:variant>
      <vt:variant>
        <vt:lpwstr/>
      </vt:variant>
      <vt:variant>
        <vt:lpwstr>_Toc441509694</vt:lpwstr>
      </vt:variant>
      <vt:variant>
        <vt:i4>1441843</vt:i4>
      </vt:variant>
      <vt:variant>
        <vt:i4>557</vt:i4>
      </vt:variant>
      <vt:variant>
        <vt:i4>0</vt:i4>
      </vt:variant>
      <vt:variant>
        <vt:i4>5</vt:i4>
      </vt:variant>
      <vt:variant>
        <vt:lpwstr/>
      </vt:variant>
      <vt:variant>
        <vt:lpwstr>_Toc441509693</vt:lpwstr>
      </vt:variant>
      <vt:variant>
        <vt:i4>1441843</vt:i4>
      </vt:variant>
      <vt:variant>
        <vt:i4>551</vt:i4>
      </vt:variant>
      <vt:variant>
        <vt:i4>0</vt:i4>
      </vt:variant>
      <vt:variant>
        <vt:i4>5</vt:i4>
      </vt:variant>
      <vt:variant>
        <vt:lpwstr/>
      </vt:variant>
      <vt:variant>
        <vt:lpwstr>_Toc441509692</vt:lpwstr>
      </vt:variant>
      <vt:variant>
        <vt:i4>1441843</vt:i4>
      </vt:variant>
      <vt:variant>
        <vt:i4>545</vt:i4>
      </vt:variant>
      <vt:variant>
        <vt:i4>0</vt:i4>
      </vt:variant>
      <vt:variant>
        <vt:i4>5</vt:i4>
      </vt:variant>
      <vt:variant>
        <vt:lpwstr/>
      </vt:variant>
      <vt:variant>
        <vt:lpwstr>_Toc441509691</vt:lpwstr>
      </vt:variant>
      <vt:variant>
        <vt:i4>1441843</vt:i4>
      </vt:variant>
      <vt:variant>
        <vt:i4>539</vt:i4>
      </vt:variant>
      <vt:variant>
        <vt:i4>0</vt:i4>
      </vt:variant>
      <vt:variant>
        <vt:i4>5</vt:i4>
      </vt:variant>
      <vt:variant>
        <vt:lpwstr/>
      </vt:variant>
      <vt:variant>
        <vt:lpwstr>_Toc441509690</vt:lpwstr>
      </vt:variant>
      <vt:variant>
        <vt:i4>1507379</vt:i4>
      </vt:variant>
      <vt:variant>
        <vt:i4>533</vt:i4>
      </vt:variant>
      <vt:variant>
        <vt:i4>0</vt:i4>
      </vt:variant>
      <vt:variant>
        <vt:i4>5</vt:i4>
      </vt:variant>
      <vt:variant>
        <vt:lpwstr/>
      </vt:variant>
      <vt:variant>
        <vt:lpwstr>_Toc441509689</vt:lpwstr>
      </vt:variant>
      <vt:variant>
        <vt:i4>1507379</vt:i4>
      </vt:variant>
      <vt:variant>
        <vt:i4>527</vt:i4>
      </vt:variant>
      <vt:variant>
        <vt:i4>0</vt:i4>
      </vt:variant>
      <vt:variant>
        <vt:i4>5</vt:i4>
      </vt:variant>
      <vt:variant>
        <vt:lpwstr/>
      </vt:variant>
      <vt:variant>
        <vt:lpwstr>_Toc441509688</vt:lpwstr>
      </vt:variant>
      <vt:variant>
        <vt:i4>1507379</vt:i4>
      </vt:variant>
      <vt:variant>
        <vt:i4>521</vt:i4>
      </vt:variant>
      <vt:variant>
        <vt:i4>0</vt:i4>
      </vt:variant>
      <vt:variant>
        <vt:i4>5</vt:i4>
      </vt:variant>
      <vt:variant>
        <vt:lpwstr/>
      </vt:variant>
      <vt:variant>
        <vt:lpwstr>_Toc441509687</vt:lpwstr>
      </vt:variant>
      <vt:variant>
        <vt:i4>1507379</vt:i4>
      </vt:variant>
      <vt:variant>
        <vt:i4>515</vt:i4>
      </vt:variant>
      <vt:variant>
        <vt:i4>0</vt:i4>
      </vt:variant>
      <vt:variant>
        <vt:i4>5</vt:i4>
      </vt:variant>
      <vt:variant>
        <vt:lpwstr/>
      </vt:variant>
      <vt:variant>
        <vt:lpwstr>_Toc441509686</vt:lpwstr>
      </vt:variant>
      <vt:variant>
        <vt:i4>1507379</vt:i4>
      </vt:variant>
      <vt:variant>
        <vt:i4>509</vt:i4>
      </vt:variant>
      <vt:variant>
        <vt:i4>0</vt:i4>
      </vt:variant>
      <vt:variant>
        <vt:i4>5</vt:i4>
      </vt:variant>
      <vt:variant>
        <vt:lpwstr/>
      </vt:variant>
      <vt:variant>
        <vt:lpwstr>_Toc441509685</vt:lpwstr>
      </vt:variant>
      <vt:variant>
        <vt:i4>1507379</vt:i4>
      </vt:variant>
      <vt:variant>
        <vt:i4>503</vt:i4>
      </vt:variant>
      <vt:variant>
        <vt:i4>0</vt:i4>
      </vt:variant>
      <vt:variant>
        <vt:i4>5</vt:i4>
      </vt:variant>
      <vt:variant>
        <vt:lpwstr/>
      </vt:variant>
      <vt:variant>
        <vt:lpwstr>_Toc441509684</vt:lpwstr>
      </vt:variant>
      <vt:variant>
        <vt:i4>1507379</vt:i4>
      </vt:variant>
      <vt:variant>
        <vt:i4>497</vt:i4>
      </vt:variant>
      <vt:variant>
        <vt:i4>0</vt:i4>
      </vt:variant>
      <vt:variant>
        <vt:i4>5</vt:i4>
      </vt:variant>
      <vt:variant>
        <vt:lpwstr/>
      </vt:variant>
      <vt:variant>
        <vt:lpwstr>_Toc441509683</vt:lpwstr>
      </vt:variant>
      <vt:variant>
        <vt:i4>1507379</vt:i4>
      </vt:variant>
      <vt:variant>
        <vt:i4>491</vt:i4>
      </vt:variant>
      <vt:variant>
        <vt:i4>0</vt:i4>
      </vt:variant>
      <vt:variant>
        <vt:i4>5</vt:i4>
      </vt:variant>
      <vt:variant>
        <vt:lpwstr/>
      </vt:variant>
      <vt:variant>
        <vt:lpwstr>_Toc441509682</vt:lpwstr>
      </vt:variant>
      <vt:variant>
        <vt:i4>1507379</vt:i4>
      </vt:variant>
      <vt:variant>
        <vt:i4>485</vt:i4>
      </vt:variant>
      <vt:variant>
        <vt:i4>0</vt:i4>
      </vt:variant>
      <vt:variant>
        <vt:i4>5</vt:i4>
      </vt:variant>
      <vt:variant>
        <vt:lpwstr/>
      </vt:variant>
      <vt:variant>
        <vt:lpwstr>_Toc441509681</vt:lpwstr>
      </vt:variant>
      <vt:variant>
        <vt:i4>1507379</vt:i4>
      </vt:variant>
      <vt:variant>
        <vt:i4>479</vt:i4>
      </vt:variant>
      <vt:variant>
        <vt:i4>0</vt:i4>
      </vt:variant>
      <vt:variant>
        <vt:i4>5</vt:i4>
      </vt:variant>
      <vt:variant>
        <vt:lpwstr/>
      </vt:variant>
      <vt:variant>
        <vt:lpwstr>_Toc441509680</vt:lpwstr>
      </vt:variant>
      <vt:variant>
        <vt:i4>1572915</vt:i4>
      </vt:variant>
      <vt:variant>
        <vt:i4>473</vt:i4>
      </vt:variant>
      <vt:variant>
        <vt:i4>0</vt:i4>
      </vt:variant>
      <vt:variant>
        <vt:i4>5</vt:i4>
      </vt:variant>
      <vt:variant>
        <vt:lpwstr/>
      </vt:variant>
      <vt:variant>
        <vt:lpwstr>_Toc441509679</vt:lpwstr>
      </vt:variant>
      <vt:variant>
        <vt:i4>1572915</vt:i4>
      </vt:variant>
      <vt:variant>
        <vt:i4>467</vt:i4>
      </vt:variant>
      <vt:variant>
        <vt:i4>0</vt:i4>
      </vt:variant>
      <vt:variant>
        <vt:i4>5</vt:i4>
      </vt:variant>
      <vt:variant>
        <vt:lpwstr/>
      </vt:variant>
      <vt:variant>
        <vt:lpwstr>_Toc441509678</vt:lpwstr>
      </vt:variant>
      <vt:variant>
        <vt:i4>1572915</vt:i4>
      </vt:variant>
      <vt:variant>
        <vt:i4>461</vt:i4>
      </vt:variant>
      <vt:variant>
        <vt:i4>0</vt:i4>
      </vt:variant>
      <vt:variant>
        <vt:i4>5</vt:i4>
      </vt:variant>
      <vt:variant>
        <vt:lpwstr/>
      </vt:variant>
      <vt:variant>
        <vt:lpwstr>_Toc441509677</vt:lpwstr>
      </vt:variant>
      <vt:variant>
        <vt:i4>1572915</vt:i4>
      </vt:variant>
      <vt:variant>
        <vt:i4>455</vt:i4>
      </vt:variant>
      <vt:variant>
        <vt:i4>0</vt:i4>
      </vt:variant>
      <vt:variant>
        <vt:i4>5</vt:i4>
      </vt:variant>
      <vt:variant>
        <vt:lpwstr/>
      </vt:variant>
      <vt:variant>
        <vt:lpwstr>_Toc441509676</vt:lpwstr>
      </vt:variant>
      <vt:variant>
        <vt:i4>1572915</vt:i4>
      </vt:variant>
      <vt:variant>
        <vt:i4>449</vt:i4>
      </vt:variant>
      <vt:variant>
        <vt:i4>0</vt:i4>
      </vt:variant>
      <vt:variant>
        <vt:i4>5</vt:i4>
      </vt:variant>
      <vt:variant>
        <vt:lpwstr/>
      </vt:variant>
      <vt:variant>
        <vt:lpwstr>_Toc441509675</vt:lpwstr>
      </vt:variant>
      <vt:variant>
        <vt:i4>1572915</vt:i4>
      </vt:variant>
      <vt:variant>
        <vt:i4>443</vt:i4>
      </vt:variant>
      <vt:variant>
        <vt:i4>0</vt:i4>
      </vt:variant>
      <vt:variant>
        <vt:i4>5</vt:i4>
      </vt:variant>
      <vt:variant>
        <vt:lpwstr/>
      </vt:variant>
      <vt:variant>
        <vt:lpwstr>_Toc441509674</vt:lpwstr>
      </vt:variant>
      <vt:variant>
        <vt:i4>1572915</vt:i4>
      </vt:variant>
      <vt:variant>
        <vt:i4>437</vt:i4>
      </vt:variant>
      <vt:variant>
        <vt:i4>0</vt:i4>
      </vt:variant>
      <vt:variant>
        <vt:i4>5</vt:i4>
      </vt:variant>
      <vt:variant>
        <vt:lpwstr/>
      </vt:variant>
      <vt:variant>
        <vt:lpwstr>_Toc441509673</vt:lpwstr>
      </vt:variant>
      <vt:variant>
        <vt:i4>1572915</vt:i4>
      </vt:variant>
      <vt:variant>
        <vt:i4>431</vt:i4>
      </vt:variant>
      <vt:variant>
        <vt:i4>0</vt:i4>
      </vt:variant>
      <vt:variant>
        <vt:i4>5</vt:i4>
      </vt:variant>
      <vt:variant>
        <vt:lpwstr/>
      </vt:variant>
      <vt:variant>
        <vt:lpwstr>_Toc441509672</vt:lpwstr>
      </vt:variant>
      <vt:variant>
        <vt:i4>1572915</vt:i4>
      </vt:variant>
      <vt:variant>
        <vt:i4>425</vt:i4>
      </vt:variant>
      <vt:variant>
        <vt:i4>0</vt:i4>
      </vt:variant>
      <vt:variant>
        <vt:i4>5</vt:i4>
      </vt:variant>
      <vt:variant>
        <vt:lpwstr/>
      </vt:variant>
      <vt:variant>
        <vt:lpwstr>_Toc441509671</vt:lpwstr>
      </vt:variant>
      <vt:variant>
        <vt:i4>1572915</vt:i4>
      </vt:variant>
      <vt:variant>
        <vt:i4>419</vt:i4>
      </vt:variant>
      <vt:variant>
        <vt:i4>0</vt:i4>
      </vt:variant>
      <vt:variant>
        <vt:i4>5</vt:i4>
      </vt:variant>
      <vt:variant>
        <vt:lpwstr/>
      </vt:variant>
      <vt:variant>
        <vt:lpwstr>_Toc441509670</vt:lpwstr>
      </vt:variant>
      <vt:variant>
        <vt:i4>1638451</vt:i4>
      </vt:variant>
      <vt:variant>
        <vt:i4>413</vt:i4>
      </vt:variant>
      <vt:variant>
        <vt:i4>0</vt:i4>
      </vt:variant>
      <vt:variant>
        <vt:i4>5</vt:i4>
      </vt:variant>
      <vt:variant>
        <vt:lpwstr/>
      </vt:variant>
      <vt:variant>
        <vt:lpwstr>_Toc441509669</vt:lpwstr>
      </vt:variant>
      <vt:variant>
        <vt:i4>1638451</vt:i4>
      </vt:variant>
      <vt:variant>
        <vt:i4>407</vt:i4>
      </vt:variant>
      <vt:variant>
        <vt:i4>0</vt:i4>
      </vt:variant>
      <vt:variant>
        <vt:i4>5</vt:i4>
      </vt:variant>
      <vt:variant>
        <vt:lpwstr/>
      </vt:variant>
      <vt:variant>
        <vt:lpwstr>_Toc441509668</vt:lpwstr>
      </vt:variant>
      <vt:variant>
        <vt:i4>1638451</vt:i4>
      </vt:variant>
      <vt:variant>
        <vt:i4>401</vt:i4>
      </vt:variant>
      <vt:variant>
        <vt:i4>0</vt:i4>
      </vt:variant>
      <vt:variant>
        <vt:i4>5</vt:i4>
      </vt:variant>
      <vt:variant>
        <vt:lpwstr/>
      </vt:variant>
      <vt:variant>
        <vt:lpwstr>_Toc441509667</vt:lpwstr>
      </vt:variant>
      <vt:variant>
        <vt:i4>1638451</vt:i4>
      </vt:variant>
      <vt:variant>
        <vt:i4>395</vt:i4>
      </vt:variant>
      <vt:variant>
        <vt:i4>0</vt:i4>
      </vt:variant>
      <vt:variant>
        <vt:i4>5</vt:i4>
      </vt:variant>
      <vt:variant>
        <vt:lpwstr/>
      </vt:variant>
      <vt:variant>
        <vt:lpwstr>_Toc441509666</vt:lpwstr>
      </vt:variant>
      <vt:variant>
        <vt:i4>1638451</vt:i4>
      </vt:variant>
      <vt:variant>
        <vt:i4>389</vt:i4>
      </vt:variant>
      <vt:variant>
        <vt:i4>0</vt:i4>
      </vt:variant>
      <vt:variant>
        <vt:i4>5</vt:i4>
      </vt:variant>
      <vt:variant>
        <vt:lpwstr/>
      </vt:variant>
      <vt:variant>
        <vt:lpwstr>_Toc441509665</vt:lpwstr>
      </vt:variant>
      <vt:variant>
        <vt:i4>1638451</vt:i4>
      </vt:variant>
      <vt:variant>
        <vt:i4>383</vt:i4>
      </vt:variant>
      <vt:variant>
        <vt:i4>0</vt:i4>
      </vt:variant>
      <vt:variant>
        <vt:i4>5</vt:i4>
      </vt:variant>
      <vt:variant>
        <vt:lpwstr/>
      </vt:variant>
      <vt:variant>
        <vt:lpwstr>_Toc441509664</vt:lpwstr>
      </vt:variant>
      <vt:variant>
        <vt:i4>1638451</vt:i4>
      </vt:variant>
      <vt:variant>
        <vt:i4>377</vt:i4>
      </vt:variant>
      <vt:variant>
        <vt:i4>0</vt:i4>
      </vt:variant>
      <vt:variant>
        <vt:i4>5</vt:i4>
      </vt:variant>
      <vt:variant>
        <vt:lpwstr/>
      </vt:variant>
      <vt:variant>
        <vt:lpwstr>_Toc441509663</vt:lpwstr>
      </vt:variant>
      <vt:variant>
        <vt:i4>1638451</vt:i4>
      </vt:variant>
      <vt:variant>
        <vt:i4>371</vt:i4>
      </vt:variant>
      <vt:variant>
        <vt:i4>0</vt:i4>
      </vt:variant>
      <vt:variant>
        <vt:i4>5</vt:i4>
      </vt:variant>
      <vt:variant>
        <vt:lpwstr/>
      </vt:variant>
      <vt:variant>
        <vt:lpwstr>_Toc441509662</vt:lpwstr>
      </vt:variant>
      <vt:variant>
        <vt:i4>4587560</vt:i4>
      </vt:variant>
      <vt:variant>
        <vt:i4>366</vt:i4>
      </vt:variant>
      <vt:variant>
        <vt:i4>0</vt:i4>
      </vt:variant>
      <vt:variant>
        <vt:i4>5</vt:i4>
      </vt:variant>
      <vt:variant>
        <vt:lpwstr>http://ec.europa.eu/budget/contracts_grants/info_contracts/inforeuro/inforeuro_en.cfm</vt:lpwstr>
      </vt:variant>
      <vt:variant>
        <vt:lpwstr/>
      </vt:variant>
      <vt:variant>
        <vt:i4>4718617</vt:i4>
      </vt:variant>
      <vt:variant>
        <vt:i4>363</vt:i4>
      </vt:variant>
      <vt:variant>
        <vt:i4>0</vt:i4>
      </vt:variant>
      <vt:variant>
        <vt:i4>5</vt:i4>
      </vt:variant>
      <vt:variant>
        <vt:lpwstr>http://www.ecb.europa.eu/stats/exchange/eurofxref/html/index.en.html</vt:lpwstr>
      </vt:variant>
      <vt:variant>
        <vt:lpwstr/>
      </vt:variant>
      <vt:variant>
        <vt:i4>4587560</vt:i4>
      </vt:variant>
      <vt:variant>
        <vt:i4>360</vt:i4>
      </vt:variant>
      <vt:variant>
        <vt:i4>0</vt:i4>
      </vt:variant>
      <vt:variant>
        <vt:i4>5</vt:i4>
      </vt:variant>
      <vt:variant>
        <vt:lpwstr>http://ec.europa.eu/budget/contracts_grants/info_contracts/inforeuro/inforeuro_en.cfm</vt:lpwstr>
      </vt:variant>
      <vt:variant>
        <vt:lpwstr/>
      </vt:variant>
      <vt:variant>
        <vt:i4>4718617</vt:i4>
      </vt:variant>
      <vt:variant>
        <vt:i4>357</vt:i4>
      </vt:variant>
      <vt:variant>
        <vt:i4>0</vt:i4>
      </vt:variant>
      <vt:variant>
        <vt:i4>5</vt:i4>
      </vt:variant>
      <vt:variant>
        <vt:lpwstr>http://www.ecb.europa.eu/stats/exchange/eurofxref/html/index.en.html</vt:lpwstr>
      </vt:variant>
      <vt:variant>
        <vt:lpwstr/>
      </vt:variant>
      <vt:variant>
        <vt:i4>4587560</vt:i4>
      </vt:variant>
      <vt:variant>
        <vt:i4>354</vt:i4>
      </vt:variant>
      <vt:variant>
        <vt:i4>0</vt:i4>
      </vt:variant>
      <vt:variant>
        <vt:i4>5</vt:i4>
      </vt:variant>
      <vt:variant>
        <vt:lpwstr>http://ec.europa.eu/budget/contracts_grants/info_contracts/inforeuro/inforeuro_en.cfm</vt:lpwstr>
      </vt:variant>
      <vt:variant>
        <vt:lpwstr/>
      </vt:variant>
      <vt:variant>
        <vt:i4>4718617</vt:i4>
      </vt:variant>
      <vt:variant>
        <vt:i4>351</vt:i4>
      </vt:variant>
      <vt:variant>
        <vt:i4>0</vt:i4>
      </vt:variant>
      <vt:variant>
        <vt:i4>5</vt:i4>
      </vt:variant>
      <vt:variant>
        <vt:lpwstr>http://www.ecb.europa.eu/stats/exchange/eurofxref/html/index.en.html</vt:lpwstr>
      </vt:variant>
      <vt:variant>
        <vt:lpwstr/>
      </vt:variant>
      <vt:variant>
        <vt:i4>1638451</vt:i4>
      </vt:variant>
      <vt:variant>
        <vt:i4>344</vt:i4>
      </vt:variant>
      <vt:variant>
        <vt:i4>0</vt:i4>
      </vt:variant>
      <vt:variant>
        <vt:i4>5</vt:i4>
      </vt:variant>
      <vt:variant>
        <vt:lpwstr/>
      </vt:variant>
      <vt:variant>
        <vt:lpwstr>_Toc441509661</vt:lpwstr>
      </vt:variant>
      <vt:variant>
        <vt:i4>1638451</vt:i4>
      </vt:variant>
      <vt:variant>
        <vt:i4>338</vt:i4>
      </vt:variant>
      <vt:variant>
        <vt:i4>0</vt:i4>
      </vt:variant>
      <vt:variant>
        <vt:i4>5</vt:i4>
      </vt:variant>
      <vt:variant>
        <vt:lpwstr/>
      </vt:variant>
      <vt:variant>
        <vt:lpwstr>_Toc441509660</vt:lpwstr>
      </vt:variant>
      <vt:variant>
        <vt:i4>1703987</vt:i4>
      </vt:variant>
      <vt:variant>
        <vt:i4>332</vt:i4>
      </vt:variant>
      <vt:variant>
        <vt:i4>0</vt:i4>
      </vt:variant>
      <vt:variant>
        <vt:i4>5</vt:i4>
      </vt:variant>
      <vt:variant>
        <vt:lpwstr/>
      </vt:variant>
      <vt:variant>
        <vt:lpwstr>_Toc441509659</vt:lpwstr>
      </vt:variant>
      <vt:variant>
        <vt:i4>1703987</vt:i4>
      </vt:variant>
      <vt:variant>
        <vt:i4>326</vt:i4>
      </vt:variant>
      <vt:variant>
        <vt:i4>0</vt:i4>
      </vt:variant>
      <vt:variant>
        <vt:i4>5</vt:i4>
      </vt:variant>
      <vt:variant>
        <vt:lpwstr/>
      </vt:variant>
      <vt:variant>
        <vt:lpwstr>_Toc441509658</vt:lpwstr>
      </vt:variant>
      <vt:variant>
        <vt:i4>1703987</vt:i4>
      </vt:variant>
      <vt:variant>
        <vt:i4>320</vt:i4>
      </vt:variant>
      <vt:variant>
        <vt:i4>0</vt:i4>
      </vt:variant>
      <vt:variant>
        <vt:i4>5</vt:i4>
      </vt:variant>
      <vt:variant>
        <vt:lpwstr/>
      </vt:variant>
      <vt:variant>
        <vt:lpwstr>_Toc441509657</vt:lpwstr>
      </vt:variant>
      <vt:variant>
        <vt:i4>1703987</vt:i4>
      </vt:variant>
      <vt:variant>
        <vt:i4>314</vt:i4>
      </vt:variant>
      <vt:variant>
        <vt:i4>0</vt:i4>
      </vt:variant>
      <vt:variant>
        <vt:i4>5</vt:i4>
      </vt:variant>
      <vt:variant>
        <vt:lpwstr/>
      </vt:variant>
      <vt:variant>
        <vt:lpwstr>_Toc441509656</vt:lpwstr>
      </vt:variant>
      <vt:variant>
        <vt:i4>1703987</vt:i4>
      </vt:variant>
      <vt:variant>
        <vt:i4>308</vt:i4>
      </vt:variant>
      <vt:variant>
        <vt:i4>0</vt:i4>
      </vt:variant>
      <vt:variant>
        <vt:i4>5</vt:i4>
      </vt:variant>
      <vt:variant>
        <vt:lpwstr/>
      </vt:variant>
      <vt:variant>
        <vt:lpwstr>_Toc441509655</vt:lpwstr>
      </vt:variant>
      <vt:variant>
        <vt:i4>1703987</vt:i4>
      </vt:variant>
      <vt:variant>
        <vt:i4>302</vt:i4>
      </vt:variant>
      <vt:variant>
        <vt:i4>0</vt:i4>
      </vt:variant>
      <vt:variant>
        <vt:i4>5</vt:i4>
      </vt:variant>
      <vt:variant>
        <vt:lpwstr/>
      </vt:variant>
      <vt:variant>
        <vt:lpwstr>_Toc441509654</vt:lpwstr>
      </vt:variant>
      <vt:variant>
        <vt:i4>1703987</vt:i4>
      </vt:variant>
      <vt:variant>
        <vt:i4>296</vt:i4>
      </vt:variant>
      <vt:variant>
        <vt:i4>0</vt:i4>
      </vt:variant>
      <vt:variant>
        <vt:i4>5</vt:i4>
      </vt:variant>
      <vt:variant>
        <vt:lpwstr/>
      </vt:variant>
      <vt:variant>
        <vt:lpwstr>_Toc441509653</vt:lpwstr>
      </vt:variant>
      <vt:variant>
        <vt:i4>1703987</vt:i4>
      </vt:variant>
      <vt:variant>
        <vt:i4>290</vt:i4>
      </vt:variant>
      <vt:variant>
        <vt:i4>0</vt:i4>
      </vt:variant>
      <vt:variant>
        <vt:i4>5</vt:i4>
      </vt:variant>
      <vt:variant>
        <vt:lpwstr/>
      </vt:variant>
      <vt:variant>
        <vt:lpwstr>_Toc441509652</vt:lpwstr>
      </vt:variant>
      <vt:variant>
        <vt:i4>1703987</vt:i4>
      </vt:variant>
      <vt:variant>
        <vt:i4>284</vt:i4>
      </vt:variant>
      <vt:variant>
        <vt:i4>0</vt:i4>
      </vt:variant>
      <vt:variant>
        <vt:i4>5</vt:i4>
      </vt:variant>
      <vt:variant>
        <vt:lpwstr/>
      </vt:variant>
      <vt:variant>
        <vt:lpwstr>_Toc441509651</vt:lpwstr>
      </vt:variant>
      <vt:variant>
        <vt:i4>1703987</vt:i4>
      </vt:variant>
      <vt:variant>
        <vt:i4>278</vt:i4>
      </vt:variant>
      <vt:variant>
        <vt:i4>0</vt:i4>
      </vt:variant>
      <vt:variant>
        <vt:i4>5</vt:i4>
      </vt:variant>
      <vt:variant>
        <vt:lpwstr/>
      </vt:variant>
      <vt:variant>
        <vt:lpwstr>_Toc441509650</vt:lpwstr>
      </vt:variant>
      <vt:variant>
        <vt:i4>1769523</vt:i4>
      </vt:variant>
      <vt:variant>
        <vt:i4>272</vt:i4>
      </vt:variant>
      <vt:variant>
        <vt:i4>0</vt:i4>
      </vt:variant>
      <vt:variant>
        <vt:i4>5</vt:i4>
      </vt:variant>
      <vt:variant>
        <vt:lpwstr/>
      </vt:variant>
      <vt:variant>
        <vt:lpwstr>_Toc441509649</vt:lpwstr>
      </vt:variant>
      <vt:variant>
        <vt:i4>1769523</vt:i4>
      </vt:variant>
      <vt:variant>
        <vt:i4>266</vt:i4>
      </vt:variant>
      <vt:variant>
        <vt:i4>0</vt:i4>
      </vt:variant>
      <vt:variant>
        <vt:i4>5</vt:i4>
      </vt:variant>
      <vt:variant>
        <vt:lpwstr/>
      </vt:variant>
      <vt:variant>
        <vt:lpwstr>_Toc441509648</vt:lpwstr>
      </vt:variant>
      <vt:variant>
        <vt:i4>1769523</vt:i4>
      </vt:variant>
      <vt:variant>
        <vt:i4>260</vt:i4>
      </vt:variant>
      <vt:variant>
        <vt:i4>0</vt:i4>
      </vt:variant>
      <vt:variant>
        <vt:i4>5</vt:i4>
      </vt:variant>
      <vt:variant>
        <vt:lpwstr/>
      </vt:variant>
      <vt:variant>
        <vt:lpwstr>_Toc441509647</vt:lpwstr>
      </vt:variant>
      <vt:variant>
        <vt:i4>1769523</vt:i4>
      </vt:variant>
      <vt:variant>
        <vt:i4>254</vt:i4>
      </vt:variant>
      <vt:variant>
        <vt:i4>0</vt:i4>
      </vt:variant>
      <vt:variant>
        <vt:i4>5</vt:i4>
      </vt:variant>
      <vt:variant>
        <vt:lpwstr/>
      </vt:variant>
      <vt:variant>
        <vt:lpwstr>_Toc441509646</vt:lpwstr>
      </vt:variant>
      <vt:variant>
        <vt:i4>1769523</vt:i4>
      </vt:variant>
      <vt:variant>
        <vt:i4>248</vt:i4>
      </vt:variant>
      <vt:variant>
        <vt:i4>0</vt:i4>
      </vt:variant>
      <vt:variant>
        <vt:i4>5</vt:i4>
      </vt:variant>
      <vt:variant>
        <vt:lpwstr/>
      </vt:variant>
      <vt:variant>
        <vt:lpwstr>_Toc441509645</vt:lpwstr>
      </vt:variant>
      <vt:variant>
        <vt:i4>1769523</vt:i4>
      </vt:variant>
      <vt:variant>
        <vt:i4>242</vt:i4>
      </vt:variant>
      <vt:variant>
        <vt:i4>0</vt:i4>
      </vt:variant>
      <vt:variant>
        <vt:i4>5</vt:i4>
      </vt:variant>
      <vt:variant>
        <vt:lpwstr/>
      </vt:variant>
      <vt:variant>
        <vt:lpwstr>_Toc441509644</vt:lpwstr>
      </vt:variant>
      <vt:variant>
        <vt:i4>1769523</vt:i4>
      </vt:variant>
      <vt:variant>
        <vt:i4>236</vt:i4>
      </vt:variant>
      <vt:variant>
        <vt:i4>0</vt:i4>
      </vt:variant>
      <vt:variant>
        <vt:i4>5</vt:i4>
      </vt:variant>
      <vt:variant>
        <vt:lpwstr/>
      </vt:variant>
      <vt:variant>
        <vt:lpwstr>_Toc441509643</vt:lpwstr>
      </vt:variant>
      <vt:variant>
        <vt:i4>1769523</vt:i4>
      </vt:variant>
      <vt:variant>
        <vt:i4>230</vt:i4>
      </vt:variant>
      <vt:variant>
        <vt:i4>0</vt:i4>
      </vt:variant>
      <vt:variant>
        <vt:i4>5</vt:i4>
      </vt:variant>
      <vt:variant>
        <vt:lpwstr/>
      </vt:variant>
      <vt:variant>
        <vt:lpwstr>_Toc441509642</vt:lpwstr>
      </vt:variant>
      <vt:variant>
        <vt:i4>1769523</vt:i4>
      </vt:variant>
      <vt:variant>
        <vt:i4>224</vt:i4>
      </vt:variant>
      <vt:variant>
        <vt:i4>0</vt:i4>
      </vt:variant>
      <vt:variant>
        <vt:i4>5</vt:i4>
      </vt:variant>
      <vt:variant>
        <vt:lpwstr/>
      </vt:variant>
      <vt:variant>
        <vt:lpwstr>_Toc441509641</vt:lpwstr>
      </vt:variant>
      <vt:variant>
        <vt:i4>1769523</vt:i4>
      </vt:variant>
      <vt:variant>
        <vt:i4>218</vt:i4>
      </vt:variant>
      <vt:variant>
        <vt:i4>0</vt:i4>
      </vt:variant>
      <vt:variant>
        <vt:i4>5</vt:i4>
      </vt:variant>
      <vt:variant>
        <vt:lpwstr/>
      </vt:variant>
      <vt:variant>
        <vt:lpwstr>_Toc441509640</vt:lpwstr>
      </vt:variant>
      <vt:variant>
        <vt:i4>1835059</vt:i4>
      </vt:variant>
      <vt:variant>
        <vt:i4>212</vt:i4>
      </vt:variant>
      <vt:variant>
        <vt:i4>0</vt:i4>
      </vt:variant>
      <vt:variant>
        <vt:i4>5</vt:i4>
      </vt:variant>
      <vt:variant>
        <vt:lpwstr/>
      </vt:variant>
      <vt:variant>
        <vt:lpwstr>_Toc441509639</vt:lpwstr>
      </vt:variant>
      <vt:variant>
        <vt:i4>1835059</vt:i4>
      </vt:variant>
      <vt:variant>
        <vt:i4>206</vt:i4>
      </vt:variant>
      <vt:variant>
        <vt:i4>0</vt:i4>
      </vt:variant>
      <vt:variant>
        <vt:i4>5</vt:i4>
      </vt:variant>
      <vt:variant>
        <vt:lpwstr/>
      </vt:variant>
      <vt:variant>
        <vt:lpwstr>_Toc441509638</vt:lpwstr>
      </vt:variant>
      <vt:variant>
        <vt:i4>1835059</vt:i4>
      </vt:variant>
      <vt:variant>
        <vt:i4>200</vt:i4>
      </vt:variant>
      <vt:variant>
        <vt:i4>0</vt:i4>
      </vt:variant>
      <vt:variant>
        <vt:i4>5</vt:i4>
      </vt:variant>
      <vt:variant>
        <vt:lpwstr/>
      </vt:variant>
      <vt:variant>
        <vt:lpwstr>_Toc441509637</vt:lpwstr>
      </vt:variant>
      <vt:variant>
        <vt:i4>1835059</vt:i4>
      </vt:variant>
      <vt:variant>
        <vt:i4>194</vt:i4>
      </vt:variant>
      <vt:variant>
        <vt:i4>0</vt:i4>
      </vt:variant>
      <vt:variant>
        <vt:i4>5</vt:i4>
      </vt:variant>
      <vt:variant>
        <vt:lpwstr/>
      </vt:variant>
      <vt:variant>
        <vt:lpwstr>_Toc441509636</vt:lpwstr>
      </vt:variant>
      <vt:variant>
        <vt:i4>1835059</vt:i4>
      </vt:variant>
      <vt:variant>
        <vt:i4>188</vt:i4>
      </vt:variant>
      <vt:variant>
        <vt:i4>0</vt:i4>
      </vt:variant>
      <vt:variant>
        <vt:i4>5</vt:i4>
      </vt:variant>
      <vt:variant>
        <vt:lpwstr/>
      </vt:variant>
      <vt:variant>
        <vt:lpwstr>_Toc441509635</vt:lpwstr>
      </vt:variant>
      <vt:variant>
        <vt:i4>1835059</vt:i4>
      </vt:variant>
      <vt:variant>
        <vt:i4>182</vt:i4>
      </vt:variant>
      <vt:variant>
        <vt:i4>0</vt:i4>
      </vt:variant>
      <vt:variant>
        <vt:i4>5</vt:i4>
      </vt:variant>
      <vt:variant>
        <vt:lpwstr/>
      </vt:variant>
      <vt:variant>
        <vt:lpwstr>_Toc441509634</vt:lpwstr>
      </vt:variant>
      <vt:variant>
        <vt:i4>1835059</vt:i4>
      </vt:variant>
      <vt:variant>
        <vt:i4>176</vt:i4>
      </vt:variant>
      <vt:variant>
        <vt:i4>0</vt:i4>
      </vt:variant>
      <vt:variant>
        <vt:i4>5</vt:i4>
      </vt:variant>
      <vt:variant>
        <vt:lpwstr/>
      </vt:variant>
      <vt:variant>
        <vt:lpwstr>_Toc441509633</vt:lpwstr>
      </vt:variant>
      <vt:variant>
        <vt:i4>1835059</vt:i4>
      </vt:variant>
      <vt:variant>
        <vt:i4>170</vt:i4>
      </vt:variant>
      <vt:variant>
        <vt:i4>0</vt:i4>
      </vt:variant>
      <vt:variant>
        <vt:i4>5</vt:i4>
      </vt:variant>
      <vt:variant>
        <vt:lpwstr/>
      </vt:variant>
      <vt:variant>
        <vt:lpwstr>_Toc441509632</vt:lpwstr>
      </vt:variant>
      <vt:variant>
        <vt:i4>1835059</vt:i4>
      </vt:variant>
      <vt:variant>
        <vt:i4>164</vt:i4>
      </vt:variant>
      <vt:variant>
        <vt:i4>0</vt:i4>
      </vt:variant>
      <vt:variant>
        <vt:i4>5</vt:i4>
      </vt:variant>
      <vt:variant>
        <vt:lpwstr/>
      </vt:variant>
      <vt:variant>
        <vt:lpwstr>_Toc441509631</vt:lpwstr>
      </vt:variant>
      <vt:variant>
        <vt:i4>1835059</vt:i4>
      </vt:variant>
      <vt:variant>
        <vt:i4>158</vt:i4>
      </vt:variant>
      <vt:variant>
        <vt:i4>0</vt:i4>
      </vt:variant>
      <vt:variant>
        <vt:i4>5</vt:i4>
      </vt:variant>
      <vt:variant>
        <vt:lpwstr/>
      </vt:variant>
      <vt:variant>
        <vt:lpwstr>_Toc441509630</vt:lpwstr>
      </vt:variant>
      <vt:variant>
        <vt:i4>1900595</vt:i4>
      </vt:variant>
      <vt:variant>
        <vt:i4>152</vt:i4>
      </vt:variant>
      <vt:variant>
        <vt:i4>0</vt:i4>
      </vt:variant>
      <vt:variant>
        <vt:i4>5</vt:i4>
      </vt:variant>
      <vt:variant>
        <vt:lpwstr/>
      </vt:variant>
      <vt:variant>
        <vt:lpwstr>_Toc441509629</vt:lpwstr>
      </vt:variant>
      <vt:variant>
        <vt:i4>1900595</vt:i4>
      </vt:variant>
      <vt:variant>
        <vt:i4>146</vt:i4>
      </vt:variant>
      <vt:variant>
        <vt:i4>0</vt:i4>
      </vt:variant>
      <vt:variant>
        <vt:i4>5</vt:i4>
      </vt:variant>
      <vt:variant>
        <vt:lpwstr/>
      </vt:variant>
      <vt:variant>
        <vt:lpwstr>_Toc441509628</vt:lpwstr>
      </vt:variant>
      <vt:variant>
        <vt:i4>1900595</vt:i4>
      </vt:variant>
      <vt:variant>
        <vt:i4>140</vt:i4>
      </vt:variant>
      <vt:variant>
        <vt:i4>0</vt:i4>
      </vt:variant>
      <vt:variant>
        <vt:i4>5</vt:i4>
      </vt:variant>
      <vt:variant>
        <vt:lpwstr/>
      </vt:variant>
      <vt:variant>
        <vt:lpwstr>_Toc441509627</vt:lpwstr>
      </vt:variant>
      <vt:variant>
        <vt:i4>1900595</vt:i4>
      </vt:variant>
      <vt:variant>
        <vt:i4>134</vt:i4>
      </vt:variant>
      <vt:variant>
        <vt:i4>0</vt:i4>
      </vt:variant>
      <vt:variant>
        <vt:i4>5</vt:i4>
      </vt:variant>
      <vt:variant>
        <vt:lpwstr/>
      </vt:variant>
      <vt:variant>
        <vt:lpwstr>_Toc441509626</vt:lpwstr>
      </vt:variant>
      <vt:variant>
        <vt:i4>1900595</vt:i4>
      </vt:variant>
      <vt:variant>
        <vt:i4>128</vt:i4>
      </vt:variant>
      <vt:variant>
        <vt:i4>0</vt:i4>
      </vt:variant>
      <vt:variant>
        <vt:i4>5</vt:i4>
      </vt:variant>
      <vt:variant>
        <vt:lpwstr/>
      </vt:variant>
      <vt:variant>
        <vt:lpwstr>_Toc441509625</vt:lpwstr>
      </vt:variant>
      <vt:variant>
        <vt:i4>1900595</vt:i4>
      </vt:variant>
      <vt:variant>
        <vt:i4>122</vt:i4>
      </vt:variant>
      <vt:variant>
        <vt:i4>0</vt:i4>
      </vt:variant>
      <vt:variant>
        <vt:i4>5</vt:i4>
      </vt:variant>
      <vt:variant>
        <vt:lpwstr/>
      </vt:variant>
      <vt:variant>
        <vt:lpwstr>_Toc441509624</vt:lpwstr>
      </vt:variant>
      <vt:variant>
        <vt:i4>1900595</vt:i4>
      </vt:variant>
      <vt:variant>
        <vt:i4>116</vt:i4>
      </vt:variant>
      <vt:variant>
        <vt:i4>0</vt:i4>
      </vt:variant>
      <vt:variant>
        <vt:i4>5</vt:i4>
      </vt:variant>
      <vt:variant>
        <vt:lpwstr/>
      </vt:variant>
      <vt:variant>
        <vt:lpwstr>_Toc441509623</vt:lpwstr>
      </vt:variant>
      <vt:variant>
        <vt:i4>1900595</vt:i4>
      </vt:variant>
      <vt:variant>
        <vt:i4>110</vt:i4>
      </vt:variant>
      <vt:variant>
        <vt:i4>0</vt:i4>
      </vt:variant>
      <vt:variant>
        <vt:i4>5</vt:i4>
      </vt:variant>
      <vt:variant>
        <vt:lpwstr/>
      </vt:variant>
      <vt:variant>
        <vt:lpwstr>_Toc441509622</vt:lpwstr>
      </vt:variant>
      <vt:variant>
        <vt:i4>1900595</vt:i4>
      </vt:variant>
      <vt:variant>
        <vt:i4>104</vt:i4>
      </vt:variant>
      <vt:variant>
        <vt:i4>0</vt:i4>
      </vt:variant>
      <vt:variant>
        <vt:i4>5</vt:i4>
      </vt:variant>
      <vt:variant>
        <vt:lpwstr/>
      </vt:variant>
      <vt:variant>
        <vt:lpwstr>_Toc441509621</vt:lpwstr>
      </vt:variant>
      <vt:variant>
        <vt:i4>1900595</vt:i4>
      </vt:variant>
      <vt:variant>
        <vt:i4>98</vt:i4>
      </vt:variant>
      <vt:variant>
        <vt:i4>0</vt:i4>
      </vt:variant>
      <vt:variant>
        <vt:i4>5</vt:i4>
      </vt:variant>
      <vt:variant>
        <vt:lpwstr/>
      </vt:variant>
      <vt:variant>
        <vt:lpwstr>_Toc441509620</vt:lpwstr>
      </vt:variant>
      <vt:variant>
        <vt:i4>1966131</vt:i4>
      </vt:variant>
      <vt:variant>
        <vt:i4>92</vt:i4>
      </vt:variant>
      <vt:variant>
        <vt:i4>0</vt:i4>
      </vt:variant>
      <vt:variant>
        <vt:i4>5</vt:i4>
      </vt:variant>
      <vt:variant>
        <vt:lpwstr/>
      </vt:variant>
      <vt:variant>
        <vt:lpwstr>_Toc441509619</vt:lpwstr>
      </vt:variant>
      <vt:variant>
        <vt:i4>1966131</vt:i4>
      </vt:variant>
      <vt:variant>
        <vt:i4>86</vt:i4>
      </vt:variant>
      <vt:variant>
        <vt:i4>0</vt:i4>
      </vt:variant>
      <vt:variant>
        <vt:i4>5</vt:i4>
      </vt:variant>
      <vt:variant>
        <vt:lpwstr/>
      </vt:variant>
      <vt:variant>
        <vt:lpwstr>_Toc441509618</vt:lpwstr>
      </vt:variant>
      <vt:variant>
        <vt:i4>1966131</vt:i4>
      </vt:variant>
      <vt:variant>
        <vt:i4>80</vt:i4>
      </vt:variant>
      <vt:variant>
        <vt:i4>0</vt:i4>
      </vt:variant>
      <vt:variant>
        <vt:i4>5</vt:i4>
      </vt:variant>
      <vt:variant>
        <vt:lpwstr/>
      </vt:variant>
      <vt:variant>
        <vt:lpwstr>_Toc441509617</vt:lpwstr>
      </vt:variant>
      <vt:variant>
        <vt:i4>1966131</vt:i4>
      </vt:variant>
      <vt:variant>
        <vt:i4>74</vt:i4>
      </vt:variant>
      <vt:variant>
        <vt:i4>0</vt:i4>
      </vt:variant>
      <vt:variant>
        <vt:i4>5</vt:i4>
      </vt:variant>
      <vt:variant>
        <vt:lpwstr/>
      </vt:variant>
      <vt:variant>
        <vt:lpwstr>_Toc441509616</vt:lpwstr>
      </vt:variant>
      <vt:variant>
        <vt:i4>1966131</vt:i4>
      </vt:variant>
      <vt:variant>
        <vt:i4>68</vt:i4>
      </vt:variant>
      <vt:variant>
        <vt:i4>0</vt:i4>
      </vt:variant>
      <vt:variant>
        <vt:i4>5</vt:i4>
      </vt:variant>
      <vt:variant>
        <vt:lpwstr/>
      </vt:variant>
      <vt:variant>
        <vt:lpwstr>_Toc441509615</vt:lpwstr>
      </vt:variant>
      <vt:variant>
        <vt:i4>1966131</vt:i4>
      </vt:variant>
      <vt:variant>
        <vt:i4>62</vt:i4>
      </vt:variant>
      <vt:variant>
        <vt:i4>0</vt:i4>
      </vt:variant>
      <vt:variant>
        <vt:i4>5</vt:i4>
      </vt:variant>
      <vt:variant>
        <vt:lpwstr/>
      </vt:variant>
      <vt:variant>
        <vt:lpwstr>_Toc441509614</vt:lpwstr>
      </vt:variant>
      <vt:variant>
        <vt:i4>1966131</vt:i4>
      </vt:variant>
      <vt:variant>
        <vt:i4>56</vt:i4>
      </vt:variant>
      <vt:variant>
        <vt:i4>0</vt:i4>
      </vt:variant>
      <vt:variant>
        <vt:i4>5</vt:i4>
      </vt:variant>
      <vt:variant>
        <vt:lpwstr/>
      </vt:variant>
      <vt:variant>
        <vt:lpwstr>_Toc441509613</vt:lpwstr>
      </vt:variant>
      <vt:variant>
        <vt:i4>1966131</vt:i4>
      </vt:variant>
      <vt:variant>
        <vt:i4>50</vt:i4>
      </vt:variant>
      <vt:variant>
        <vt:i4>0</vt:i4>
      </vt:variant>
      <vt:variant>
        <vt:i4>5</vt:i4>
      </vt:variant>
      <vt:variant>
        <vt:lpwstr/>
      </vt:variant>
      <vt:variant>
        <vt:lpwstr>_Toc441509612</vt:lpwstr>
      </vt:variant>
      <vt:variant>
        <vt:i4>1966131</vt:i4>
      </vt:variant>
      <vt:variant>
        <vt:i4>44</vt:i4>
      </vt:variant>
      <vt:variant>
        <vt:i4>0</vt:i4>
      </vt:variant>
      <vt:variant>
        <vt:i4>5</vt:i4>
      </vt:variant>
      <vt:variant>
        <vt:lpwstr/>
      </vt:variant>
      <vt:variant>
        <vt:lpwstr>_Toc441509611</vt:lpwstr>
      </vt:variant>
      <vt:variant>
        <vt:i4>1966131</vt:i4>
      </vt:variant>
      <vt:variant>
        <vt:i4>38</vt:i4>
      </vt:variant>
      <vt:variant>
        <vt:i4>0</vt:i4>
      </vt:variant>
      <vt:variant>
        <vt:i4>5</vt:i4>
      </vt:variant>
      <vt:variant>
        <vt:lpwstr/>
      </vt:variant>
      <vt:variant>
        <vt:lpwstr>_Toc441509610</vt:lpwstr>
      </vt:variant>
      <vt:variant>
        <vt:i4>2031667</vt:i4>
      </vt:variant>
      <vt:variant>
        <vt:i4>32</vt:i4>
      </vt:variant>
      <vt:variant>
        <vt:i4>0</vt:i4>
      </vt:variant>
      <vt:variant>
        <vt:i4>5</vt:i4>
      </vt:variant>
      <vt:variant>
        <vt:lpwstr/>
      </vt:variant>
      <vt:variant>
        <vt:lpwstr>_Toc441509609</vt:lpwstr>
      </vt:variant>
      <vt:variant>
        <vt:i4>2031667</vt:i4>
      </vt:variant>
      <vt:variant>
        <vt:i4>26</vt:i4>
      </vt:variant>
      <vt:variant>
        <vt:i4>0</vt:i4>
      </vt:variant>
      <vt:variant>
        <vt:i4>5</vt:i4>
      </vt:variant>
      <vt:variant>
        <vt:lpwstr/>
      </vt:variant>
      <vt:variant>
        <vt:lpwstr>_Toc441509608</vt:lpwstr>
      </vt:variant>
      <vt:variant>
        <vt:i4>2031667</vt:i4>
      </vt:variant>
      <vt:variant>
        <vt:i4>20</vt:i4>
      </vt:variant>
      <vt:variant>
        <vt:i4>0</vt:i4>
      </vt:variant>
      <vt:variant>
        <vt:i4>5</vt:i4>
      </vt:variant>
      <vt:variant>
        <vt:lpwstr/>
      </vt:variant>
      <vt:variant>
        <vt:lpwstr>_Toc441509607</vt:lpwstr>
      </vt:variant>
      <vt:variant>
        <vt:i4>2031667</vt:i4>
      </vt:variant>
      <vt:variant>
        <vt:i4>14</vt:i4>
      </vt:variant>
      <vt:variant>
        <vt:i4>0</vt:i4>
      </vt:variant>
      <vt:variant>
        <vt:i4>5</vt:i4>
      </vt:variant>
      <vt:variant>
        <vt:lpwstr/>
      </vt:variant>
      <vt:variant>
        <vt:lpwstr>_Toc441509606</vt:lpwstr>
      </vt:variant>
      <vt:variant>
        <vt:i4>2031667</vt:i4>
      </vt:variant>
      <vt:variant>
        <vt:i4>8</vt:i4>
      </vt:variant>
      <vt:variant>
        <vt:i4>0</vt:i4>
      </vt:variant>
      <vt:variant>
        <vt:i4>5</vt:i4>
      </vt:variant>
      <vt:variant>
        <vt:lpwstr/>
      </vt:variant>
      <vt:variant>
        <vt:lpwstr>_Toc441509605</vt:lpwstr>
      </vt:variant>
      <vt:variant>
        <vt:i4>2031667</vt:i4>
      </vt:variant>
      <vt:variant>
        <vt:i4>2</vt:i4>
      </vt:variant>
      <vt:variant>
        <vt:i4>0</vt:i4>
      </vt:variant>
      <vt:variant>
        <vt:i4>5</vt:i4>
      </vt:variant>
      <vt:variant>
        <vt:lpwstr/>
      </vt:variant>
      <vt:variant>
        <vt:lpwstr>_Toc441509604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FOR AN ACTION WITH MULTIPLE BENEFICIARIES</dc:title>
  <dc:creator>ANGELOVA Yana (BUDG)</dc:creator>
  <cp:lastModifiedBy>Barbara Drzewicka</cp:lastModifiedBy>
  <cp:revision>2</cp:revision>
  <cp:lastPrinted>2018-07-16T13:12:00Z</cp:lastPrinted>
  <dcterms:created xsi:type="dcterms:W3CDTF">2022-09-06T14:25:00Z</dcterms:created>
  <dcterms:modified xsi:type="dcterms:W3CDTF">2022-09-06T14:25:00Z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ELDocType">
    <vt:lpwstr>NOT.DOT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Order">
    <vt:r8>10400</vt:r8>
  </property>
  <property fmtid="{D5CDD505-2E9C-101B-9397-08002B2CF9AE}" pid="8" name="ContentTypeId">
    <vt:lpwstr>0x010100D0966A0EB06BCE41920AE7F09F889088</vt:lpwstr>
  </property>
  <property fmtid="{D5CDD505-2E9C-101B-9397-08002B2CF9AE}" pid="9" name="_DocHome">
    <vt:i4>-704347938</vt:i4>
  </property>
</Properties>
</file>