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8887E" w14:textId="6611BDA5" w:rsidR="00DE0D1B" w:rsidRPr="00750A56" w:rsidRDefault="00DE0D1B" w:rsidP="00DE0D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pl-PL"/>
        </w:rPr>
      </w:pPr>
      <w:r w:rsidRPr="00750A56">
        <w:rPr>
          <w:rFonts w:ascii="Times New Roman" w:hAnsi="Times New Roman" w:cs="Times New Roman"/>
          <w:sz w:val="28"/>
          <w:szCs w:val="28"/>
          <w:lang w:val="pl-PL"/>
        </w:rPr>
        <w:t>STAWKI MAJĄCE ZASTOSOWANIE</w:t>
      </w:r>
      <w:r w:rsidR="00224787" w:rsidRPr="00750A56">
        <w:rPr>
          <w:rFonts w:ascii="Times New Roman" w:hAnsi="Times New Roman" w:cs="Times New Roman"/>
          <w:sz w:val="28"/>
          <w:szCs w:val="28"/>
          <w:lang w:val="pl-PL"/>
        </w:rPr>
        <w:t xml:space="preserve"> </w:t>
      </w:r>
      <w:r w:rsidRPr="00750A56">
        <w:rPr>
          <w:rFonts w:ascii="Times New Roman" w:hAnsi="Times New Roman" w:cs="Times New Roman"/>
          <w:sz w:val="28"/>
          <w:szCs w:val="28"/>
          <w:lang w:val="pl-PL"/>
        </w:rPr>
        <w:t>DO KOSZTÓW JEDNOSTKOWYCH</w:t>
      </w:r>
    </w:p>
    <w:p w14:paraId="708922B6" w14:textId="77777777" w:rsidR="00DE0D1B" w:rsidRPr="00750A56" w:rsidRDefault="00DE0D1B" w:rsidP="00DE0D1B">
      <w:pPr>
        <w:spacing w:after="0" w:line="240" w:lineRule="auto"/>
        <w:jc w:val="right"/>
        <w:rPr>
          <w:rFonts w:ascii="Times New Roman" w:hAnsi="Times New Roman" w:cs="Times New Roman"/>
          <w:b/>
          <w:smallCaps/>
          <w:sz w:val="36"/>
          <w:szCs w:val="36"/>
          <w:u w:val="single"/>
          <w:lang w:val="pl-PL"/>
        </w:rPr>
      </w:pPr>
    </w:p>
    <w:p w14:paraId="58059142" w14:textId="3519E703" w:rsidR="00DE0D1B" w:rsidRPr="00750A56" w:rsidRDefault="00DE0D1B" w:rsidP="00DE0D1B">
      <w:pPr>
        <w:spacing w:after="0" w:line="360" w:lineRule="auto"/>
        <w:jc w:val="center"/>
        <w:rPr>
          <w:rFonts w:ascii="Times New Roman" w:hAnsi="Times New Roman" w:cs="Times New Roman"/>
          <w:b/>
          <w:highlight w:val="cyan"/>
          <w:u w:val="single"/>
          <w:lang w:val="pl-PL"/>
        </w:rPr>
      </w:pPr>
      <w:r w:rsidRPr="00750A56">
        <w:rPr>
          <w:rFonts w:ascii="Times New Roman" w:hAnsi="Times New Roman" w:cs="Times New Roman"/>
          <w:u w:val="single"/>
          <w:lang w:val="pl-PL"/>
        </w:rPr>
        <w:t>AKCJA 2 – PARTNERSTWA WSPÓŁPRACY</w:t>
      </w:r>
    </w:p>
    <w:p w14:paraId="35168B74" w14:textId="77777777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B1CEC" w:rsidRPr="00750A56" w14:paraId="5519891A" w14:textId="77777777" w:rsidTr="00CB1CEC">
        <w:tc>
          <w:tcPr>
            <w:tcW w:w="9350" w:type="dxa"/>
          </w:tcPr>
          <w:p w14:paraId="3CF0A8B3" w14:textId="77777777" w:rsidR="00CB1CEC" w:rsidRPr="00750A56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pl-PL"/>
              </w:rPr>
            </w:pPr>
          </w:p>
          <w:p w14:paraId="7784A068" w14:textId="7761D5E5" w:rsidR="00CB1CEC" w:rsidRPr="00750A56" w:rsidRDefault="00DE0D1B" w:rsidP="00CB1C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50A56">
              <w:rPr>
                <w:rFonts w:ascii="Times New Roman" w:hAnsi="Times New Roman" w:cs="Times New Roman"/>
                <w:sz w:val="24"/>
                <w:lang w:val="pl-PL"/>
              </w:rPr>
              <w:t>Maksymalna kwota dotacji</w:t>
            </w:r>
            <w:r w:rsidR="00CB1CEC" w:rsidRPr="00750A56">
              <w:rPr>
                <w:rFonts w:ascii="Times New Roman" w:hAnsi="Times New Roman" w:cs="Times New Roman"/>
                <w:sz w:val="24"/>
                <w:lang w:val="pl-PL"/>
              </w:rPr>
              <w:t xml:space="preserve">: </w:t>
            </w:r>
            <w:r w:rsidRPr="00750A56">
              <w:rPr>
                <w:rFonts w:ascii="Times New Roman" w:hAnsi="Times New Roman" w:cs="Times New Roman"/>
                <w:sz w:val="24"/>
                <w:lang w:val="pl-PL"/>
              </w:rPr>
              <w:t>zmienna, nie większa niż</w:t>
            </w:r>
            <w:r w:rsidR="00CB1CEC" w:rsidRPr="00750A56">
              <w:rPr>
                <w:rFonts w:ascii="Times New Roman" w:hAnsi="Times New Roman" w:cs="Times New Roman"/>
                <w:sz w:val="24"/>
                <w:lang w:val="pl-PL"/>
              </w:rPr>
              <w:t xml:space="preserve"> </w:t>
            </w:r>
            <w:r w:rsidR="00CB1CEC" w:rsidRPr="00750A56">
              <w:rPr>
                <w:rFonts w:ascii="Times New Roman" w:hAnsi="Times New Roman" w:cs="Times New Roman"/>
                <w:b/>
                <w:sz w:val="24"/>
                <w:lang w:val="pl-PL"/>
              </w:rPr>
              <w:t>400 000 EUR</w:t>
            </w:r>
          </w:p>
          <w:p w14:paraId="360ABDA1" w14:textId="77777777" w:rsidR="00CB1CEC" w:rsidRPr="00750A56" w:rsidRDefault="00CB1CEC" w:rsidP="00CB1CE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</w:tr>
    </w:tbl>
    <w:p w14:paraId="4FAD8C73" w14:textId="77777777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4FF20818" w14:textId="77777777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099C7221" w14:textId="77777777" w:rsidR="00DE0D1B" w:rsidRPr="00750A56" w:rsidRDefault="00DE0D1B" w:rsidP="00DE0D1B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  <w:t>Zarządzanie projektem i jego wdrażanie</w:t>
      </w:r>
    </w:p>
    <w:p w14:paraId="4F92FF20" w14:textId="77777777" w:rsidR="00CB1CEC" w:rsidRPr="00750A56" w:rsidRDefault="00CB1CEC" w:rsidP="00CB1CEC">
      <w:pPr>
        <w:spacing w:after="0" w:line="240" w:lineRule="auto"/>
        <w:ind w:left="72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30"/>
      </w:tblGrid>
      <w:tr w:rsidR="00CB1CEC" w:rsidRPr="00750A56" w14:paraId="544D856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526084" w14:textId="10CAC9C3" w:rsidR="00CB1CEC" w:rsidRPr="00750A56" w:rsidRDefault="00DE0D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Dofinansowanie działań organizacji koordynującej: </w:t>
            </w:r>
            <w:r w:rsidR="00CB1CEC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 xml:space="preserve"> 500 EUR</w:t>
            </w:r>
            <w:r w:rsidR="00CB1CEC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/ miesiąc</w:t>
            </w:r>
          </w:p>
        </w:tc>
      </w:tr>
      <w:tr w:rsidR="00CB1CEC" w:rsidRPr="00750A56" w14:paraId="3A2B2F03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31436" w14:textId="7920AD9F" w:rsidR="00CB1CEC" w:rsidRPr="00750A56" w:rsidRDefault="00DE0D1B" w:rsidP="00DE0D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Dofinansowanie działań pozostałych organizacji uczestniczących:</w:t>
            </w:r>
            <w:r w:rsidR="00CB1CEC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="00CB1CEC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250 EUR</w:t>
            </w:r>
            <w:r w:rsidR="00CB1CEC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/ organizację uczestniczącą na miesiąc</w:t>
            </w:r>
          </w:p>
        </w:tc>
      </w:tr>
      <w:tr w:rsidR="00CB1CEC" w:rsidRPr="00750A56" w14:paraId="07DC5425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7664D" w14:textId="32CBEFF2" w:rsidR="00CB1CEC" w:rsidRPr="00750A56" w:rsidRDefault="00DE0D1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Maksymalna kwota w wypadku 10 lub większej liczby beneficjentów</w:t>
            </w:r>
            <w:r w:rsidR="00CB1CEC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: </w:t>
            </w:r>
            <w:r w:rsidR="00CB1CEC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 xml:space="preserve">2750 EUR </w:t>
            </w: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/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miesiąc dla projektu jako całości</w:t>
            </w:r>
          </w:p>
        </w:tc>
      </w:tr>
    </w:tbl>
    <w:p w14:paraId="2A94BD73" w14:textId="77777777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5A8E38E" w14:textId="77777777" w:rsidR="00DE0D1B" w:rsidRPr="00750A56" w:rsidRDefault="00DE0D1B" w:rsidP="00DE0D1B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  <w:r w:rsidRPr="00750A56">
        <w:rPr>
          <w:rFonts w:ascii="Times New Roman" w:hAnsi="Times New Roman" w:cs="Times New Roman"/>
          <w:b/>
          <w:sz w:val="24"/>
          <w:szCs w:val="24"/>
          <w:lang w:val="pl-PL"/>
        </w:rPr>
        <w:t>Międzynarodowe spotkania projektowe</w:t>
      </w:r>
    </w:p>
    <w:p w14:paraId="2AC9E45E" w14:textId="77777777" w:rsidR="00CB1CEC" w:rsidRPr="00750A56" w:rsidRDefault="00CB1CEC" w:rsidP="00CB1CEC">
      <w:pPr>
        <w:spacing w:after="0" w:line="240" w:lineRule="auto"/>
        <w:ind w:left="720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30"/>
      </w:tblGrid>
      <w:tr w:rsidR="00CB1CEC" w:rsidRPr="00750A56" w14:paraId="3536939E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4AC364" w14:textId="473D1741" w:rsidR="00CB1CEC" w:rsidRPr="00750A56" w:rsidRDefault="00786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Dofinansowanie kosztów podróży na dystansie od 100 do 1999 km: </w:t>
            </w: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575 EUR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/uczestnika na spotkanie</w:t>
            </w:r>
          </w:p>
        </w:tc>
      </w:tr>
      <w:tr w:rsidR="00CB1CEC" w:rsidRPr="00750A56" w14:paraId="21E535EC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9E866" w14:textId="681EE531" w:rsidR="00CB1CEC" w:rsidRPr="00750A56" w:rsidRDefault="00786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Dofinansowanie kosztów podróży na dystansie 2000 km lub więcej: </w:t>
            </w: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760 EUR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/uczestnika na spotkanie</w:t>
            </w:r>
          </w:p>
        </w:tc>
      </w:tr>
    </w:tbl>
    <w:p w14:paraId="7152604B" w14:textId="77777777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14:paraId="6691423B" w14:textId="77777777" w:rsidR="007868A9" w:rsidRPr="00750A56" w:rsidRDefault="007868A9" w:rsidP="007868A9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  <w:lang w:val="pl-PL"/>
        </w:rPr>
      </w:pPr>
      <w:r w:rsidRPr="00750A56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750A56">
        <w:rPr>
          <w:rFonts w:ascii="Times New Roman" w:hAnsi="Times New Roman" w:cs="Times New Roman"/>
          <w:b/>
          <w:i/>
          <w:sz w:val="20"/>
          <w:szCs w:val="20"/>
          <w:lang w:val="pl-PL"/>
        </w:rPr>
        <w:t>„</w:t>
      </w:r>
      <w:r w:rsidRPr="00750A56">
        <w:rPr>
          <w:rFonts w:ascii="Times New Roman" w:hAnsi="Times New Roman" w:cs="Times New Roman"/>
          <w:b/>
          <w:sz w:val="20"/>
          <w:szCs w:val="20"/>
          <w:lang w:val="pl-PL"/>
        </w:rPr>
        <w:t>Odległość</w:t>
      </w:r>
      <w:r w:rsidRPr="00750A56">
        <w:rPr>
          <w:rFonts w:ascii="Times New Roman" w:hAnsi="Times New Roman" w:cs="Times New Roman"/>
          <w:sz w:val="20"/>
          <w:szCs w:val="20"/>
          <w:lang w:val="pl-PL"/>
        </w:rPr>
        <w:t>” określa dystans pomiędzy miejscem wyjazdu a przyjazdu do miejsca docelowego (w jedną stronę), a „</w:t>
      </w:r>
      <w:r w:rsidRPr="00750A56">
        <w:rPr>
          <w:rFonts w:ascii="Times New Roman" w:hAnsi="Times New Roman" w:cs="Times New Roman"/>
          <w:b/>
          <w:sz w:val="20"/>
          <w:szCs w:val="20"/>
          <w:lang w:val="pl-PL"/>
        </w:rPr>
        <w:t>Kwota</w:t>
      </w:r>
      <w:r w:rsidRPr="00750A56">
        <w:rPr>
          <w:rFonts w:ascii="Times New Roman" w:hAnsi="Times New Roman" w:cs="Times New Roman"/>
          <w:sz w:val="20"/>
          <w:szCs w:val="20"/>
          <w:lang w:val="pl-PL"/>
        </w:rPr>
        <w:t xml:space="preserve">” - ryczałt na podróż </w:t>
      </w:r>
      <w:r w:rsidRPr="00750A56">
        <w:rPr>
          <w:rFonts w:ascii="Times New Roman" w:hAnsi="Times New Roman" w:cs="Times New Roman"/>
          <w:sz w:val="20"/>
          <w:szCs w:val="20"/>
          <w:u w:val="single"/>
          <w:lang w:val="pl-PL"/>
        </w:rPr>
        <w:t>w obie</w:t>
      </w:r>
      <w:r w:rsidRPr="00750A56">
        <w:rPr>
          <w:rFonts w:ascii="Times New Roman" w:hAnsi="Times New Roman" w:cs="Times New Roman"/>
          <w:sz w:val="20"/>
          <w:szCs w:val="20"/>
          <w:lang w:val="pl-PL"/>
        </w:rPr>
        <w:t xml:space="preserve"> strony (do i z miejsca docelowego).</w:t>
      </w:r>
    </w:p>
    <w:p w14:paraId="00451AFB" w14:textId="4965EF11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7628BADD" w14:textId="77777777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14:paraId="08D7E9D6" w14:textId="77777777" w:rsidR="007868A9" w:rsidRPr="00750A56" w:rsidRDefault="007868A9" w:rsidP="007868A9">
      <w:pPr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  <w:r w:rsidRPr="00750A56">
        <w:rPr>
          <w:rFonts w:ascii="Times New Roman" w:hAnsi="Times New Roman" w:cs="Times New Roman"/>
          <w:b/>
          <w:sz w:val="24"/>
          <w:szCs w:val="24"/>
          <w:lang w:val="pl-PL"/>
        </w:rPr>
        <w:t>Rezultaty pracy intelektualnej</w:t>
      </w:r>
    </w:p>
    <w:p w14:paraId="70083252" w14:textId="65795904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76" w:type="pct"/>
        <w:jc w:val="center"/>
        <w:tblLayout w:type="fixed"/>
        <w:tblLook w:val="0000" w:firstRow="0" w:lastRow="0" w:firstColumn="0" w:lastColumn="0" w:noHBand="0" w:noVBand="0"/>
      </w:tblPr>
      <w:tblGrid>
        <w:gridCol w:w="3906"/>
        <w:gridCol w:w="1171"/>
        <w:gridCol w:w="1520"/>
        <w:gridCol w:w="1171"/>
        <w:gridCol w:w="1571"/>
      </w:tblGrid>
      <w:tr w:rsidR="007868A9" w:rsidRPr="00750A56" w14:paraId="75AC8E63" w14:textId="77777777" w:rsidTr="00964F9A">
        <w:trPr>
          <w:trHeight w:val="873"/>
          <w:jc w:val="center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851EB8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pl-PL" w:eastAsia="zh-CN"/>
              </w:rPr>
              <w:t>Kraje programu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4F85A8E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Osoba zarządzająca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6B6A7AB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Nauczyciel/ osoba prowadząca szkolenie/ naukowiec/ osoba pracująca z młodzieżą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84B19CB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Pracownik techniczny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7429764E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Pracownik administracyjny</w:t>
            </w:r>
          </w:p>
        </w:tc>
      </w:tr>
      <w:tr w:rsidR="007868A9" w:rsidRPr="00750A56" w14:paraId="3F58FDE4" w14:textId="77777777" w:rsidTr="00964F9A">
        <w:trPr>
          <w:trHeight w:val="317"/>
          <w:jc w:val="center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F5623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pl-PL" w:eastAsia="zh-CN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F86564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D567DBA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A221E97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9FC4E69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B1.4</w:t>
            </w:r>
          </w:p>
        </w:tc>
      </w:tr>
      <w:tr w:rsidR="007868A9" w:rsidRPr="00750A56" w14:paraId="703997FB" w14:textId="77777777" w:rsidTr="00964F9A">
        <w:trPr>
          <w:trHeight w:val="227"/>
          <w:jc w:val="center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0F54F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</w:p>
        </w:tc>
        <w:tc>
          <w:tcPr>
            <w:tcW w:w="29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299FBD9A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Kwota EUR/ dzień</w:t>
            </w:r>
          </w:p>
        </w:tc>
      </w:tr>
      <w:tr w:rsidR="007868A9" w:rsidRPr="00750A56" w14:paraId="3042D307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6C886C9F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Dania,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Irlandia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Luksemburg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Holandia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Austria,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Szwecja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 xml:space="preserve">, Liechtenstein,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de-DE" w:eastAsia="zh-CN"/>
              </w:rPr>
              <w:t>Norwegia</w:t>
            </w:r>
            <w:proofErr w:type="spellEnd"/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8BBF417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D8FF896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740715A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49620A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157</w:t>
            </w:r>
          </w:p>
        </w:tc>
      </w:tr>
      <w:tr w:rsidR="007868A9" w:rsidRPr="00750A56" w14:paraId="03F31C30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0EA692A1" w14:textId="00FEA473" w:rsidR="007868A9" w:rsidRPr="00750A56" w:rsidRDefault="007868A9" w:rsidP="007868A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Belgia, Niemcy, Francja, Włochy, Finlandia, Islandia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53F139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59DD2A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4867CB5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6B0D88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131</w:t>
            </w:r>
          </w:p>
        </w:tc>
      </w:tr>
      <w:tr w:rsidR="007868A9" w:rsidRPr="00750A56" w14:paraId="4FEF24CC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208D01A1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lastRenderedPageBreak/>
              <w:t>Czechy, Grecja, Hiszpania, Cypr, Malta, Portugalia, Słowenia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844D10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A8D34E7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63376CE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F61A477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78</w:t>
            </w:r>
          </w:p>
        </w:tc>
      </w:tr>
      <w:tr w:rsidR="007868A9" w:rsidRPr="00750A56" w14:paraId="5449F69A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24638F76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Bułgaria, Estonia, Chorwacja, Łotwa, Litwa, Węgry, Polska, Rumunia, Serbia, Słowacja, Macedonia Północna, Turcja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A83642E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DA70909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C126D52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F8AE77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47</w:t>
            </w:r>
          </w:p>
        </w:tc>
      </w:tr>
    </w:tbl>
    <w:p w14:paraId="7B58D0C1" w14:textId="2C35C00F" w:rsidR="007868A9" w:rsidRPr="00750A56" w:rsidRDefault="007868A9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2515CA14" w14:textId="14ABB0A7" w:rsidR="007868A9" w:rsidRPr="00750A56" w:rsidRDefault="007868A9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19A4AA85" w14:textId="0B955F07" w:rsidR="007868A9" w:rsidRPr="00750A56" w:rsidRDefault="007868A9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7C6B3B86" w14:textId="123D1DED" w:rsidR="007868A9" w:rsidRPr="00750A56" w:rsidRDefault="007868A9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tbl>
      <w:tblPr>
        <w:tblW w:w="4876" w:type="pct"/>
        <w:jc w:val="center"/>
        <w:tblLayout w:type="fixed"/>
        <w:tblLook w:val="0000" w:firstRow="0" w:lastRow="0" w:firstColumn="0" w:lastColumn="0" w:noHBand="0" w:noVBand="0"/>
      </w:tblPr>
      <w:tblGrid>
        <w:gridCol w:w="3906"/>
        <w:gridCol w:w="1171"/>
        <w:gridCol w:w="1520"/>
        <w:gridCol w:w="1171"/>
        <w:gridCol w:w="1571"/>
      </w:tblGrid>
      <w:tr w:rsidR="007868A9" w:rsidRPr="00750A56" w14:paraId="22BDC7E7" w14:textId="77777777" w:rsidTr="00964F9A">
        <w:trPr>
          <w:trHeight w:val="873"/>
          <w:jc w:val="center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11729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pl-PL" w:eastAsia="zh-CN"/>
              </w:rPr>
              <w:t>Kraje partnerskie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F12444F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Osoba zarządzająca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AD34EF6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Nauczyciel/ osoba prowadząca szkolenie/ naukowiec/ osoba pracująca z młodzieżą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788F90D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Pracownik techniczny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1CC73EB8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Pracownik administracyjny</w:t>
            </w:r>
          </w:p>
        </w:tc>
      </w:tr>
      <w:tr w:rsidR="007868A9" w:rsidRPr="00750A56" w14:paraId="67305323" w14:textId="77777777" w:rsidTr="00964F9A">
        <w:trPr>
          <w:trHeight w:val="315"/>
          <w:jc w:val="center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A9F17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  <w:sz w:val="18"/>
                <w:szCs w:val="18"/>
                <w:lang w:val="pl-PL" w:eastAsia="zh-CN"/>
              </w:rPr>
            </w:pP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5DA61BB5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B1.1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881CD3D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B1.2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6AB78E0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B1.3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6B48E970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B1.4</w:t>
            </w:r>
          </w:p>
        </w:tc>
      </w:tr>
      <w:tr w:rsidR="007868A9" w:rsidRPr="00750A56" w14:paraId="36067C73" w14:textId="77777777" w:rsidTr="00964F9A">
        <w:trPr>
          <w:trHeight w:val="227"/>
          <w:jc w:val="center"/>
        </w:trPr>
        <w:tc>
          <w:tcPr>
            <w:tcW w:w="209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263D2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</w:p>
        </w:tc>
        <w:tc>
          <w:tcPr>
            <w:tcW w:w="2909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44EC3DAA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Kwota EUR/ dzień</w:t>
            </w:r>
          </w:p>
        </w:tc>
      </w:tr>
      <w:tr w:rsidR="007868A9" w:rsidRPr="00750A56" w14:paraId="690502E1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31E10B84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Australia, Kanada, Katar, Kuwejt, Makau, Monako, San Marino, Stany Zjednoczone Ameryki, Szwajcaria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1838239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294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D27922F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241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21FE7E0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190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D0F24D7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Cs/>
                <w:color w:val="000000"/>
                <w:kern w:val="3"/>
                <w:sz w:val="18"/>
                <w:szCs w:val="18"/>
                <w:lang w:val="pl-PL" w:eastAsia="zh-CN"/>
              </w:rPr>
              <w:t>157</w:t>
            </w:r>
          </w:p>
        </w:tc>
      </w:tr>
      <w:tr w:rsidR="007868A9" w:rsidRPr="00750A56" w14:paraId="229ADAB1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004C5A1E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val="pl-PL" w:eastAsia="zh-CN"/>
              </w:rPr>
              <w:t>Andora, Brunei, Japonia, Nowa Zelandia, Singapur, Watykan, Zjednoczone Emiraty Arabskie, Wielka Brytania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C29E55A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280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E5066DE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214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D872B35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162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5914F45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131</w:t>
            </w:r>
          </w:p>
        </w:tc>
      </w:tr>
      <w:tr w:rsidR="007868A9" w:rsidRPr="00750A56" w14:paraId="78F5E0CB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29C47CDD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Arabia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Saudyjska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Bahamy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Bahrajn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Hong Kong,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Izrael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Republika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Korei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Oman,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Tajwan</w:t>
            </w:r>
            <w:proofErr w:type="spellEnd"/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1F6E57A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164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7CE6631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137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4333CCB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102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CB00D2A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78</w:t>
            </w:r>
          </w:p>
        </w:tc>
      </w:tr>
      <w:tr w:rsidR="007868A9" w:rsidRPr="00750A56" w14:paraId="6B769CDB" w14:textId="77777777" w:rsidTr="00964F9A">
        <w:trPr>
          <w:trHeight w:val="20"/>
          <w:jc w:val="center"/>
        </w:trPr>
        <w:tc>
          <w:tcPr>
            <w:tcW w:w="209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  <w:tcMar>
              <w:top w:w="57" w:type="dxa"/>
              <w:bottom w:w="57" w:type="dxa"/>
            </w:tcMar>
            <w:vAlign w:val="center"/>
          </w:tcPr>
          <w:p w14:paraId="0BBDB21A" w14:textId="77777777" w:rsidR="007868A9" w:rsidRPr="00750A56" w:rsidRDefault="007868A9" w:rsidP="00964F9A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</w:pP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Afganistan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Albania,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Algieria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Angola, Antigua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Barbuda,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Argentyna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Armenia,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Azerbejdżan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Bangladesz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Barbados, Belize, Benin, Bhutan,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Białoruś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Boliwia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Bośnia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Hercegowina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Botswana,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Brazylia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Burkina Faso, Burundi, Chile,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Chiny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Czad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Czarnogóra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Dominika,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Dominikana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Dżibuti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Egipt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Ekwador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Erytrea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Etiopia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Fidżi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Filipiny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Gabon, Gambia, Ghana, Grenada,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Gruzja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Gujana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Gwatemala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Gwinea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Gwinea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Bissau,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Gwinea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Równikowa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Haiti, Honduras, Indie,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Indonezja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Irak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Iran,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Jamajka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Jemen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Jordania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Kambodża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Kamerun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Kazachstan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Kenia,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Kirgistan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Kiribati,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Kolumbia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Komory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Kongo,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Demokratyczna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Republika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Konga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Korea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Północna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(KRLD),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Kosowo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Kostaryka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Kuba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Laos, Lesotho,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Liban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Liberia,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Libia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Madagaskar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Malawi,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Malediwy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Malezja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Mali,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Maroko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Mauretania, Mauritius,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Meksyk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Mikronezja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Mjanma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(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Birma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),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Mołdawia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Mongolia,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Mozambik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Namibia, Nauru, Nepal, Niger, Nigeria,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Nikaragua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Niue, Pakistan, Palau,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Palestyna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Panama, Papua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Nowa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Gwinea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Paragwaj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Peru,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Republika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Południowej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Afryki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Republika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Środkowoafrykańska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Republika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Wybrzeża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Kości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Słoniowej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Republika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Zielonego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Przylądka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Rwanda, Saint Kitts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Nevis, Saint Lucia, Saint Vincent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Grenadyny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Salwador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Samoa, Senegal,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Seszele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Sierra Leone, Somalia, </w:t>
            </w:r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lastRenderedPageBreak/>
              <w:t xml:space="preserve">Sri Lanka,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Suazi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Sudan, Sudan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Południowy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Surinam, Syria,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Tadżykistan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Tajlandia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Tanzania,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terytorium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Federacji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Rosyjskiej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uznane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przez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prawo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międzynarodowe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terytorium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Ukrainy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uznane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przez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prawo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międzynarodowe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Timor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Wschodni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–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Demokratyczna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Republika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Togo, Tonga,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Trynidad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i Tobago,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Tunezja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Turkmenistan, Tuvalu, Uganda,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Urugwaj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Uzbekistan, Vanuatu,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Wenezuela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Wietnam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Wyspy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Cooka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Wyspy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Marshalla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Wyspy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Salomona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,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Wyspy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Świętego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Tomasza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i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Książęca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bCs/>
                <w:kern w:val="3"/>
                <w:sz w:val="18"/>
                <w:szCs w:val="18"/>
                <w:lang w:eastAsia="zh-CN"/>
              </w:rPr>
              <w:t>, Zambia, Zimbabwe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76647B8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lastRenderedPageBreak/>
              <w:t>88</w:t>
            </w:r>
          </w:p>
        </w:tc>
        <w:tc>
          <w:tcPr>
            <w:tcW w:w="8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79DA2120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74</w:t>
            </w:r>
          </w:p>
        </w:tc>
        <w:tc>
          <w:tcPr>
            <w:tcW w:w="6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4035CD2C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55</w:t>
            </w:r>
          </w:p>
        </w:tc>
        <w:tc>
          <w:tcPr>
            <w:tcW w:w="84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6B0CF742" w14:textId="77777777" w:rsidR="007868A9" w:rsidRPr="00750A56" w:rsidRDefault="007868A9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18"/>
                <w:szCs w:val="18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color w:val="000000"/>
                <w:kern w:val="3"/>
                <w:sz w:val="18"/>
                <w:szCs w:val="18"/>
                <w:lang w:val="pl-PL" w:eastAsia="zh-CN"/>
              </w:rPr>
              <w:t>39</w:t>
            </w:r>
          </w:p>
        </w:tc>
      </w:tr>
    </w:tbl>
    <w:p w14:paraId="4DB1C9CA" w14:textId="609BDE91" w:rsidR="007868A9" w:rsidRPr="00750A56" w:rsidRDefault="007868A9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56B64BBF" w14:textId="79932043" w:rsidR="007868A9" w:rsidRPr="00750A56" w:rsidRDefault="007868A9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</w:p>
    <w:p w14:paraId="1E721930" w14:textId="77777777" w:rsidR="007868A9" w:rsidRPr="00750A56" w:rsidRDefault="007868A9" w:rsidP="00750A56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  <w:t>Wydarzenia upowszechniające rezultaty pracy intelektualnej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9530"/>
      </w:tblGrid>
      <w:tr w:rsidR="00CB1CEC" w:rsidRPr="00750A56" w14:paraId="0D37FB51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FCF461" w14:textId="267C0080" w:rsidR="00CB1CEC" w:rsidRPr="00750A56" w:rsidRDefault="007868A9">
            <w:pPr>
              <w:widowControl w:val="0"/>
              <w:suppressAutoHyphens/>
              <w:autoSpaceDN w:val="0"/>
              <w:spacing w:beforeLines="40" w:before="96" w:afterLines="40" w:after="96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100 EUR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na uczestnika krajowego (tj. uczestników z kraju, w którym odbywa się wydarzenie)</w:t>
            </w:r>
          </w:p>
        </w:tc>
      </w:tr>
      <w:tr w:rsidR="00CB1CEC" w:rsidRPr="00750A56" w14:paraId="1EC8EEBF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1103E" w14:textId="69AFC4E1" w:rsidR="00CB1CEC" w:rsidRPr="00750A56" w:rsidRDefault="00786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200 EUR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na uczestnika międzynarodowego (tj. uczestników z innych krajów)</w:t>
            </w:r>
          </w:p>
        </w:tc>
      </w:tr>
      <w:tr w:rsidR="00CB1CEC" w:rsidRPr="00750A56" w14:paraId="31C70D18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CF29" w14:textId="0114F263" w:rsidR="00CB1CEC" w:rsidRPr="00750A56" w:rsidRDefault="00CB1CEC" w:rsidP="00786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15 EUR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="007868A9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na uczestnika wydarzeń wirtualnych</w:t>
            </w:r>
          </w:p>
        </w:tc>
      </w:tr>
      <w:tr w:rsidR="00CB1CEC" w:rsidRPr="00750A56" w14:paraId="1DB620F4" w14:textId="77777777" w:rsidTr="00CB1CEC">
        <w:trPr>
          <w:trHeight w:val="68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2A36" w14:textId="76B9F687" w:rsidR="00CB1CEC" w:rsidRPr="00750A56" w:rsidRDefault="007868A9" w:rsidP="007868A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Maksymalnie</w:t>
            </w:r>
            <w:r w:rsidR="00CB1CEC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 xml:space="preserve"> 30 000 EUR 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na projekt jako całość, w tym maksymalnie </w:t>
            </w:r>
            <w:r w:rsidR="00CB1CEC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5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="00CB1CEC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000 EUR 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na wydarzenia wirtualne na projekt</w:t>
            </w:r>
          </w:p>
        </w:tc>
      </w:tr>
    </w:tbl>
    <w:p w14:paraId="6F1AE11E" w14:textId="77777777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</w:p>
    <w:p w14:paraId="753B29BE" w14:textId="0ECDEDE5" w:rsidR="00CB1CEC" w:rsidRPr="00750A56" w:rsidRDefault="007868A9" w:rsidP="007868A9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en-US" w:eastAsia="zh-CN"/>
        </w:rPr>
      </w:pPr>
      <w:proofErr w:type="spellStart"/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en-US" w:eastAsia="zh-CN"/>
        </w:rPr>
        <w:t>Wsparcie</w:t>
      </w:r>
      <w:proofErr w:type="spellEnd"/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en-US" w:eastAsia="zh-CN"/>
        </w:rPr>
        <w:t xml:space="preserve"> </w:t>
      </w:r>
      <w:proofErr w:type="spellStart"/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en-US" w:eastAsia="zh-CN"/>
        </w:rPr>
        <w:t>włączenia</w:t>
      </w:r>
      <w:proofErr w:type="spellEnd"/>
    </w:p>
    <w:p w14:paraId="73F19AD5" w14:textId="6FDC07F5" w:rsidR="007868A9" w:rsidRPr="00750A56" w:rsidRDefault="007868A9" w:rsidP="007868A9">
      <w:pPr>
        <w:spacing w:before="120" w:after="240"/>
        <w:rPr>
          <w:rFonts w:ascii="Times New Roman" w:hAnsi="Times New Roman" w:cs="Times New Roman"/>
          <w:sz w:val="24"/>
          <w:szCs w:val="24"/>
          <w:lang w:val="pl-PL"/>
        </w:rPr>
      </w:pPr>
      <w:r w:rsidRPr="00750A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100 EUR </w:t>
      </w:r>
      <w:r w:rsidR="00224787" w:rsidRPr="00750A56">
        <w:rPr>
          <w:rFonts w:ascii="Times New Roman" w:hAnsi="Times New Roman" w:cs="Times New Roman"/>
          <w:sz w:val="24"/>
          <w:szCs w:val="24"/>
          <w:lang w:val="pl-PL"/>
        </w:rPr>
        <w:t xml:space="preserve">dla organizacji </w:t>
      </w:r>
      <w:r w:rsidRPr="00750A56">
        <w:rPr>
          <w:rFonts w:ascii="Times New Roman" w:hAnsi="Times New Roman" w:cs="Times New Roman"/>
          <w:sz w:val="24"/>
          <w:szCs w:val="24"/>
          <w:lang w:val="pl-PL"/>
        </w:rPr>
        <w:t xml:space="preserve">na </w:t>
      </w:r>
      <w:r w:rsidR="00224787" w:rsidRPr="00750A56">
        <w:rPr>
          <w:rFonts w:ascii="Times New Roman" w:hAnsi="Times New Roman" w:cs="Times New Roman"/>
          <w:sz w:val="24"/>
          <w:szCs w:val="24"/>
          <w:lang w:val="pl-PL"/>
        </w:rPr>
        <w:t xml:space="preserve">każdego </w:t>
      </w:r>
      <w:r w:rsidRPr="00750A56">
        <w:rPr>
          <w:rFonts w:ascii="Times New Roman" w:hAnsi="Times New Roman" w:cs="Times New Roman"/>
          <w:sz w:val="24"/>
          <w:szCs w:val="24"/>
          <w:lang w:val="pl-PL"/>
        </w:rPr>
        <w:t>uczestnika na koszty związane z organizacją mobilności uczestników z mniejszymi szansami.</w:t>
      </w:r>
    </w:p>
    <w:p w14:paraId="509AE581" w14:textId="7BB0CD3F" w:rsidR="007868A9" w:rsidRPr="00750A56" w:rsidRDefault="007868A9" w:rsidP="007868A9">
      <w:pPr>
        <w:pStyle w:val="Akapitzlist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  <w:r w:rsidRPr="00750A56">
        <w:rPr>
          <w:rFonts w:ascii="Times New Roman" w:hAnsi="Times New Roman" w:cs="Times New Roman"/>
          <w:b/>
          <w:snapToGrid w:val="0"/>
          <w:kern w:val="3"/>
          <w:sz w:val="24"/>
          <w:szCs w:val="24"/>
          <w:lang w:val="pl-PL" w:eastAsia="zh-CN"/>
        </w:rPr>
        <w:t>Dodatkowe finansowanie na działania związane z uczeniem się, nauczaniem i szkoleniami</w:t>
      </w:r>
    </w:p>
    <w:p w14:paraId="68D48E2A" w14:textId="77777777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</w:p>
    <w:p w14:paraId="3D5EC896" w14:textId="1FAE20EF" w:rsidR="00CB1CEC" w:rsidRPr="00750A56" w:rsidRDefault="00CB1CEC" w:rsidP="00750A56">
      <w:pPr>
        <w:spacing w:after="12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6. a. </w:t>
      </w:r>
      <w:proofErr w:type="spellStart"/>
      <w:r w:rsidR="00584A84"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Podróż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976"/>
        <w:gridCol w:w="3277"/>
        <w:gridCol w:w="3277"/>
      </w:tblGrid>
      <w:tr w:rsidR="00584A84" w:rsidRPr="00750A56" w14:paraId="56061B12" w14:textId="77777777" w:rsidTr="00584A84">
        <w:tc>
          <w:tcPr>
            <w:tcW w:w="1561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9198B71" w14:textId="77777777" w:rsidR="00584A84" w:rsidRPr="00750A56" w:rsidRDefault="00584A84" w:rsidP="00964F9A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lang w:eastAsia="zh-CN"/>
              </w:rPr>
              <w:t>Odległość</w:t>
            </w:r>
            <w:proofErr w:type="spellEnd"/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4073CCD" w14:textId="77777777" w:rsidR="00584A84" w:rsidRPr="00750A56" w:rsidRDefault="00584A84" w:rsidP="00964F9A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lang w:eastAsia="zh-CN"/>
              </w:rPr>
              <w:t>Podróż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lang w:eastAsia="zh-CN"/>
              </w:rPr>
              <w:t>standardowa</w:t>
            </w:r>
            <w:proofErr w:type="spellEnd"/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lang w:eastAsia="zh-CN"/>
              </w:rPr>
              <w:t xml:space="preserve"> - </w:t>
            </w:r>
            <w:proofErr w:type="spellStart"/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lang w:eastAsia="zh-CN"/>
              </w:rPr>
              <w:t>kwota</w:t>
            </w:r>
            <w:proofErr w:type="spellEnd"/>
          </w:p>
        </w:tc>
        <w:tc>
          <w:tcPr>
            <w:tcW w:w="1719" w:type="pct"/>
            <w:tcBorders>
              <w:bottom w:val="single" w:sz="4" w:space="0" w:color="auto"/>
            </w:tcBorders>
            <w:shd w:val="pct10" w:color="auto" w:fill="auto"/>
          </w:tcPr>
          <w:p w14:paraId="44B45AA4" w14:textId="77777777" w:rsidR="00584A84" w:rsidRPr="00750A56" w:rsidRDefault="00584A84" w:rsidP="00964F9A">
            <w:pPr>
              <w:widowControl w:val="0"/>
              <w:suppressAutoHyphens/>
              <w:autoSpaceDN w:val="0"/>
              <w:spacing w:before="120" w:after="120" w:line="240" w:lineRule="auto"/>
              <w:ind w:left="34"/>
              <w:jc w:val="center"/>
              <w:textAlignment w:val="baseline"/>
              <w:rPr>
                <w:rFonts w:ascii="Times New Roman" w:eastAsia="SimSun" w:hAnsi="Times New Roman" w:cs="Times New Roman"/>
                <w:b/>
                <w:snapToGrid w:val="0"/>
                <w:kern w:val="3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lang w:val="pl-PL" w:eastAsia="zh-CN"/>
              </w:rPr>
              <w:t>Podróż ekologicznymi środkami transportu - kwota</w:t>
            </w:r>
          </w:p>
        </w:tc>
      </w:tr>
      <w:tr w:rsidR="00584A84" w:rsidRPr="00750A56" w14:paraId="7C6736CC" w14:textId="77777777" w:rsidTr="00584A84">
        <w:trPr>
          <w:trHeight w:val="236"/>
        </w:trPr>
        <w:tc>
          <w:tcPr>
            <w:tcW w:w="1561" w:type="pct"/>
            <w:vAlign w:val="center"/>
          </w:tcPr>
          <w:p w14:paraId="4349650B" w14:textId="36C6D4F0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pomiędzy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r w:rsidR="008032B8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1</w:t>
            </w: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0 a 99 km:</w:t>
            </w:r>
          </w:p>
        </w:tc>
        <w:tc>
          <w:tcPr>
            <w:tcW w:w="1719" w:type="pct"/>
            <w:vAlign w:val="center"/>
          </w:tcPr>
          <w:p w14:paraId="71B63939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23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  <w:tc>
          <w:tcPr>
            <w:tcW w:w="1719" w:type="pct"/>
            <w:shd w:val="clear" w:color="auto" w:fill="D9D9D9" w:themeFill="background1" w:themeFillShade="D9"/>
          </w:tcPr>
          <w:p w14:paraId="76BE44ED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</w:pPr>
          </w:p>
        </w:tc>
      </w:tr>
      <w:tr w:rsidR="00584A84" w:rsidRPr="00750A56" w14:paraId="0D622747" w14:textId="77777777" w:rsidTr="00584A84">
        <w:trPr>
          <w:trHeight w:val="236"/>
        </w:trPr>
        <w:tc>
          <w:tcPr>
            <w:tcW w:w="1561" w:type="pct"/>
            <w:vAlign w:val="center"/>
          </w:tcPr>
          <w:p w14:paraId="1EAE364F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pomiędzy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100 a 499 km:</w:t>
            </w:r>
          </w:p>
        </w:tc>
        <w:tc>
          <w:tcPr>
            <w:tcW w:w="1719" w:type="pct"/>
            <w:vAlign w:val="center"/>
          </w:tcPr>
          <w:p w14:paraId="1C663477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180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  <w:tc>
          <w:tcPr>
            <w:tcW w:w="1719" w:type="pct"/>
          </w:tcPr>
          <w:p w14:paraId="17F782D0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210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</w:tr>
      <w:tr w:rsidR="00584A84" w:rsidRPr="00750A56" w14:paraId="071D9E20" w14:textId="77777777" w:rsidTr="00584A84">
        <w:trPr>
          <w:trHeight w:val="268"/>
        </w:trPr>
        <w:tc>
          <w:tcPr>
            <w:tcW w:w="1561" w:type="pct"/>
            <w:vAlign w:val="center"/>
          </w:tcPr>
          <w:p w14:paraId="09898DBD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pomiędzy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500 a 1999 km:</w:t>
            </w:r>
          </w:p>
        </w:tc>
        <w:tc>
          <w:tcPr>
            <w:tcW w:w="1719" w:type="pct"/>
            <w:vAlign w:val="center"/>
          </w:tcPr>
          <w:p w14:paraId="7D0F2EF3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275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  <w:tc>
          <w:tcPr>
            <w:tcW w:w="1719" w:type="pct"/>
          </w:tcPr>
          <w:p w14:paraId="4A890F52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320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</w:tr>
      <w:tr w:rsidR="00584A84" w:rsidRPr="00750A56" w14:paraId="2A8B300A" w14:textId="77777777" w:rsidTr="00584A84">
        <w:trPr>
          <w:trHeight w:val="272"/>
        </w:trPr>
        <w:tc>
          <w:tcPr>
            <w:tcW w:w="1561" w:type="pct"/>
            <w:vAlign w:val="center"/>
          </w:tcPr>
          <w:p w14:paraId="1647E33B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pomiędzy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2000 a 2999 km:</w:t>
            </w:r>
          </w:p>
        </w:tc>
        <w:tc>
          <w:tcPr>
            <w:tcW w:w="1719" w:type="pct"/>
            <w:vAlign w:val="center"/>
          </w:tcPr>
          <w:p w14:paraId="5EE50B59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360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  <w:tc>
          <w:tcPr>
            <w:tcW w:w="1719" w:type="pct"/>
          </w:tcPr>
          <w:p w14:paraId="13F14906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410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</w:tr>
      <w:tr w:rsidR="00584A84" w:rsidRPr="00750A56" w14:paraId="40011B76" w14:textId="77777777" w:rsidTr="00584A84">
        <w:trPr>
          <w:trHeight w:val="262"/>
        </w:trPr>
        <w:tc>
          <w:tcPr>
            <w:tcW w:w="1561" w:type="pct"/>
            <w:vAlign w:val="center"/>
          </w:tcPr>
          <w:p w14:paraId="38BEC6B3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pomiędzy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3000 a 3999 km</w:t>
            </w:r>
          </w:p>
        </w:tc>
        <w:tc>
          <w:tcPr>
            <w:tcW w:w="1719" w:type="pct"/>
            <w:vAlign w:val="center"/>
          </w:tcPr>
          <w:p w14:paraId="09D99D6B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530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  <w:tc>
          <w:tcPr>
            <w:tcW w:w="1719" w:type="pct"/>
          </w:tcPr>
          <w:p w14:paraId="7C78C3EB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610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</w:tr>
      <w:tr w:rsidR="00584A84" w:rsidRPr="00750A56" w14:paraId="294B5D62" w14:textId="77777777" w:rsidTr="00584A84">
        <w:trPr>
          <w:trHeight w:val="280"/>
        </w:trPr>
        <w:tc>
          <w:tcPr>
            <w:tcW w:w="1561" w:type="pct"/>
            <w:vAlign w:val="center"/>
          </w:tcPr>
          <w:p w14:paraId="058758E9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pomiędzy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4000 a 7999 km:</w:t>
            </w:r>
          </w:p>
        </w:tc>
        <w:tc>
          <w:tcPr>
            <w:tcW w:w="1719" w:type="pct"/>
            <w:vAlign w:val="center"/>
          </w:tcPr>
          <w:p w14:paraId="346A8A5C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820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  <w:tc>
          <w:tcPr>
            <w:tcW w:w="1719" w:type="pct"/>
            <w:shd w:val="clear" w:color="auto" w:fill="D9D9D9" w:themeFill="background1" w:themeFillShade="D9"/>
          </w:tcPr>
          <w:p w14:paraId="764AA93C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</w:pPr>
          </w:p>
        </w:tc>
      </w:tr>
      <w:tr w:rsidR="00584A84" w:rsidRPr="00750A56" w14:paraId="1A96091A" w14:textId="77777777" w:rsidTr="00584A84">
        <w:trPr>
          <w:trHeight w:val="270"/>
        </w:trPr>
        <w:tc>
          <w:tcPr>
            <w:tcW w:w="1561" w:type="pct"/>
            <w:vAlign w:val="center"/>
          </w:tcPr>
          <w:p w14:paraId="4B4A325F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8000 km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i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więcej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:</w:t>
            </w:r>
          </w:p>
        </w:tc>
        <w:tc>
          <w:tcPr>
            <w:tcW w:w="1719" w:type="pct"/>
            <w:vAlign w:val="center"/>
          </w:tcPr>
          <w:p w14:paraId="787B4212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lang w:eastAsia="zh-CN"/>
              </w:rPr>
            </w:pPr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1500 EUR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na</w:t>
            </w:r>
            <w:proofErr w:type="spellEnd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 xml:space="preserve"> </w:t>
            </w:r>
            <w:proofErr w:type="spellStart"/>
            <w:r w:rsidRPr="00750A56"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  <w:t>uczestnika</w:t>
            </w:r>
            <w:proofErr w:type="spellEnd"/>
          </w:p>
        </w:tc>
        <w:tc>
          <w:tcPr>
            <w:tcW w:w="1719" w:type="pct"/>
            <w:shd w:val="clear" w:color="auto" w:fill="D9D9D9" w:themeFill="background1" w:themeFillShade="D9"/>
          </w:tcPr>
          <w:p w14:paraId="2BA2AB65" w14:textId="77777777" w:rsidR="00584A84" w:rsidRPr="00750A56" w:rsidRDefault="00584A84" w:rsidP="00964F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napToGrid w:val="0"/>
                <w:kern w:val="3"/>
                <w:lang w:eastAsia="zh-CN"/>
              </w:rPr>
            </w:pPr>
          </w:p>
        </w:tc>
      </w:tr>
    </w:tbl>
    <w:p w14:paraId="08E7E1E5" w14:textId="77777777" w:rsidR="00584A84" w:rsidRPr="00750A56" w:rsidRDefault="00584A84" w:rsidP="00584A84">
      <w:pPr>
        <w:spacing w:after="0" w:line="240" w:lineRule="auto"/>
        <w:rPr>
          <w:rFonts w:ascii="Times New Roman" w:hAnsi="Times New Roman" w:cs="Times New Roman"/>
        </w:rPr>
      </w:pPr>
    </w:p>
    <w:p w14:paraId="42D1D18D" w14:textId="77777777" w:rsidR="00584A84" w:rsidRPr="00750A56" w:rsidRDefault="00584A84" w:rsidP="00584A84">
      <w:pPr>
        <w:tabs>
          <w:tab w:val="left" w:pos="851"/>
        </w:tabs>
        <w:spacing w:after="0" w:line="240" w:lineRule="auto"/>
        <w:ind w:left="851" w:hanging="851"/>
        <w:rPr>
          <w:rFonts w:ascii="Times New Roman" w:hAnsi="Times New Roman" w:cs="Times New Roman"/>
          <w:sz w:val="20"/>
          <w:szCs w:val="20"/>
          <w:lang w:val="pl-PL"/>
        </w:rPr>
      </w:pPr>
      <w:r w:rsidRPr="00750A56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750A56">
        <w:rPr>
          <w:rFonts w:ascii="Times New Roman" w:hAnsi="Times New Roman" w:cs="Times New Roman"/>
          <w:b/>
          <w:i/>
          <w:sz w:val="20"/>
          <w:szCs w:val="20"/>
          <w:lang w:val="pl-PL"/>
        </w:rPr>
        <w:t>„</w:t>
      </w:r>
      <w:r w:rsidRPr="00750A56">
        <w:rPr>
          <w:rFonts w:ascii="Times New Roman" w:hAnsi="Times New Roman" w:cs="Times New Roman"/>
          <w:b/>
          <w:sz w:val="20"/>
          <w:szCs w:val="20"/>
          <w:lang w:val="pl-PL"/>
        </w:rPr>
        <w:t>Odległość</w:t>
      </w:r>
      <w:r w:rsidRPr="00750A56">
        <w:rPr>
          <w:rFonts w:ascii="Times New Roman" w:hAnsi="Times New Roman" w:cs="Times New Roman"/>
          <w:sz w:val="20"/>
          <w:szCs w:val="20"/>
          <w:lang w:val="pl-PL"/>
        </w:rPr>
        <w:t>” określa dystans pomiędzy miejscem wyjazdu a przyjazdu do miejsca docelowego (w jedną stronę), a „</w:t>
      </w:r>
      <w:r w:rsidRPr="00750A56">
        <w:rPr>
          <w:rFonts w:ascii="Times New Roman" w:hAnsi="Times New Roman" w:cs="Times New Roman"/>
          <w:b/>
          <w:sz w:val="20"/>
          <w:szCs w:val="20"/>
          <w:lang w:val="pl-PL"/>
        </w:rPr>
        <w:t>Kwota</w:t>
      </w:r>
      <w:r w:rsidRPr="00750A56">
        <w:rPr>
          <w:rFonts w:ascii="Times New Roman" w:hAnsi="Times New Roman" w:cs="Times New Roman"/>
          <w:sz w:val="20"/>
          <w:szCs w:val="20"/>
          <w:lang w:val="pl-PL"/>
        </w:rPr>
        <w:t xml:space="preserve">” - ryczałt na podróż </w:t>
      </w:r>
      <w:r w:rsidRPr="00750A56">
        <w:rPr>
          <w:rFonts w:ascii="Times New Roman" w:hAnsi="Times New Roman" w:cs="Times New Roman"/>
          <w:sz w:val="20"/>
          <w:szCs w:val="20"/>
          <w:u w:val="single"/>
          <w:lang w:val="pl-PL"/>
        </w:rPr>
        <w:t>w obie</w:t>
      </w:r>
      <w:r w:rsidRPr="00750A56">
        <w:rPr>
          <w:rFonts w:ascii="Times New Roman" w:hAnsi="Times New Roman" w:cs="Times New Roman"/>
          <w:sz w:val="20"/>
          <w:szCs w:val="20"/>
          <w:lang w:val="pl-PL"/>
        </w:rPr>
        <w:t xml:space="preserve"> strony (do i z miejsca docelowego).</w:t>
      </w:r>
    </w:p>
    <w:p w14:paraId="0660F361" w14:textId="77777777" w:rsidR="00584A84" w:rsidRPr="00750A56" w:rsidRDefault="00584A84" w:rsidP="00584A84">
      <w:pPr>
        <w:spacing w:after="0" w:line="240" w:lineRule="auto"/>
        <w:ind w:left="1134" w:hanging="1134"/>
        <w:rPr>
          <w:rFonts w:ascii="Times New Roman" w:hAnsi="Times New Roman" w:cs="Times New Roman"/>
          <w:sz w:val="20"/>
          <w:szCs w:val="20"/>
          <w:lang w:val="pl-PL"/>
        </w:rPr>
      </w:pPr>
    </w:p>
    <w:p w14:paraId="2F0BE5D7" w14:textId="0A966273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</w:pPr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6. b. </w:t>
      </w:r>
      <w:proofErr w:type="spellStart"/>
      <w:r w:rsidR="00584A84"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Wsparcie</w:t>
      </w:r>
      <w:proofErr w:type="spellEnd"/>
      <w:r w:rsidR="00584A84"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 xml:space="preserve"> </w:t>
      </w:r>
      <w:proofErr w:type="spellStart"/>
      <w:r w:rsidR="00584A84"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eastAsia="zh-CN"/>
        </w:rPr>
        <w:t>indywidualne</w:t>
      </w:r>
      <w:proofErr w:type="spellEnd"/>
    </w:p>
    <w:p w14:paraId="767D2798" w14:textId="77777777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16"/>
          <w:szCs w:val="1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73"/>
        <w:gridCol w:w="6957"/>
      </w:tblGrid>
      <w:tr w:rsidR="00CB1CEC" w:rsidRPr="00750A56" w14:paraId="4E6674CD" w14:textId="77777777" w:rsidTr="00CB1CEC">
        <w:trPr>
          <w:trHeight w:val="62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8779265" w14:textId="597DF995" w:rsidR="00CB1CEC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Stawka bazowa dla pracowników i pracowników młodzieżowych 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2B69AD19" w14:textId="77777777" w:rsidR="00584A84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do 14. dnia działania: </w:t>
            </w: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106 EUR</w:t>
            </w:r>
            <w:r w:rsidRPr="00750A5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Pr="00750A5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 w:eastAsia="zh-CN"/>
              </w:rPr>
              <w:t>na dzień na uczestnika</w:t>
            </w:r>
          </w:p>
          <w:p w14:paraId="10226D0E" w14:textId="77777777" w:rsidR="00584A84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+</w:t>
            </w:r>
          </w:p>
          <w:p w14:paraId="34266197" w14:textId="30BEB015" w:rsidR="00584A84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od 15. dnia działania: </w:t>
            </w:r>
            <w:r w:rsidR="00EF3BCB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70% stawki bazowej</w:t>
            </w: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na </w:t>
            </w:r>
            <w:r w:rsidR="006338F4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dzień </w:t>
            </w: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uczestnika </w:t>
            </w:r>
          </w:p>
          <w:p w14:paraId="19F8A34D" w14:textId="77777777" w:rsidR="00584A84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+</w:t>
            </w:r>
          </w:p>
          <w:p w14:paraId="0B9AD83E" w14:textId="1E75E1AF" w:rsidR="00772C3C" w:rsidRPr="00750A56" w:rsidRDefault="00584A84" w:rsidP="00EF3BC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od 60. dnia działania do 12 miesięcy: </w:t>
            </w:r>
            <w:r w:rsidR="00EF3BCB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50% stawki bazowej</w:t>
            </w:r>
            <w:r w:rsidR="00EF3BCB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="006338F4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na dzień uczestnika</w:t>
            </w:r>
          </w:p>
        </w:tc>
      </w:tr>
      <w:tr w:rsidR="00CB1CEC" w:rsidRPr="00750A56" w14:paraId="2BDC63A5" w14:textId="77777777" w:rsidTr="00CB1CEC">
        <w:trPr>
          <w:trHeight w:val="666"/>
        </w:trPr>
        <w:tc>
          <w:tcPr>
            <w:tcW w:w="1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5E7B0493" w14:textId="75F34A11" w:rsidR="00CB1CEC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Stawka bazowa dla osób </w:t>
            </w:r>
            <w:proofErr w:type="spellStart"/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uczączych</w:t>
            </w:r>
            <w:proofErr w:type="spellEnd"/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 się I młodych ludzi </w:t>
            </w:r>
          </w:p>
        </w:tc>
        <w:tc>
          <w:tcPr>
            <w:tcW w:w="3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  <w:hideMark/>
          </w:tcPr>
          <w:p w14:paraId="7E7440FD" w14:textId="77777777" w:rsidR="00584A84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do 14. dnia działania: </w:t>
            </w:r>
            <w:r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58 EUR</w:t>
            </w:r>
            <w:r w:rsidRPr="00750A56">
              <w:rPr>
                <w:rFonts w:ascii="Times New Roman" w:eastAsia="SimSun" w:hAnsi="Times New Roman" w:cs="Times New Roman"/>
                <w:b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Pr="00750A56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 w:eastAsia="zh-CN"/>
              </w:rPr>
              <w:t>na dzień na uczestnika</w:t>
            </w:r>
          </w:p>
          <w:p w14:paraId="4CEE35CD" w14:textId="77777777" w:rsidR="00584A84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+</w:t>
            </w:r>
          </w:p>
          <w:p w14:paraId="0E1C6FBB" w14:textId="4AF3FAB9" w:rsidR="00584A84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od 15. dnia działania: </w:t>
            </w:r>
            <w:r w:rsidR="00EF3BCB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 xml:space="preserve">70% stawki bazowej </w:t>
            </w:r>
            <w:r w:rsidR="00EF3BCB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na dzień na uczestnika</w:t>
            </w:r>
          </w:p>
          <w:p w14:paraId="240D7687" w14:textId="77777777" w:rsidR="00CB1CEC" w:rsidRPr="00750A56" w:rsidRDefault="00CB1CEC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+</w:t>
            </w:r>
          </w:p>
          <w:p w14:paraId="271A0271" w14:textId="12250E37" w:rsidR="00772C3C" w:rsidRPr="00750A56" w:rsidRDefault="00584A84" w:rsidP="00584A84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pl-PL" w:eastAsia="zh-CN"/>
              </w:rPr>
            </w:pPr>
            <w:r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 xml:space="preserve">od 60. dnia działania do 12 miesięcy: </w:t>
            </w:r>
            <w:r w:rsidR="00EF3BCB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>50% stawki bazowej</w:t>
            </w:r>
            <w:r w:rsidR="006338F4" w:rsidRPr="00750A56">
              <w:rPr>
                <w:rFonts w:ascii="Times New Roman" w:eastAsia="SimSun" w:hAnsi="Times New Roman" w:cs="Times New Roman"/>
                <w:b/>
                <w:snapToGrid w:val="0"/>
                <w:kern w:val="3"/>
                <w:sz w:val="24"/>
                <w:szCs w:val="24"/>
                <w:lang w:val="pl-PL" w:eastAsia="zh-CN"/>
              </w:rPr>
              <w:t xml:space="preserve"> </w:t>
            </w:r>
            <w:r w:rsidR="006338F4" w:rsidRPr="00750A56">
              <w:rPr>
                <w:rFonts w:ascii="Times New Roman" w:eastAsia="SimSun" w:hAnsi="Times New Roman" w:cs="Times New Roman"/>
                <w:snapToGrid w:val="0"/>
                <w:kern w:val="3"/>
                <w:sz w:val="24"/>
                <w:szCs w:val="24"/>
                <w:lang w:val="pl-PL" w:eastAsia="zh-CN"/>
              </w:rPr>
              <w:t>na dzień na uczestnika</w:t>
            </w:r>
          </w:p>
        </w:tc>
      </w:tr>
    </w:tbl>
    <w:p w14:paraId="40E78C6E" w14:textId="77777777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</w:p>
    <w:p w14:paraId="335E2227" w14:textId="1C6D526C" w:rsidR="000C46CB" w:rsidRPr="00750A56" w:rsidRDefault="000C46CB" w:rsidP="00807145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it-IT" w:eastAsia="zh-CN"/>
        </w:rPr>
      </w:pPr>
      <w:r w:rsidRPr="00750A56">
        <w:rPr>
          <w:rFonts w:ascii="Times New Roman" w:hAnsi="Times New Roman" w:cs="Times New Roman"/>
          <w:b/>
          <w:sz w:val="20"/>
          <w:szCs w:val="20"/>
          <w:lang w:val="pl-PL"/>
        </w:rPr>
        <w:t xml:space="preserve">Uwaga: </w:t>
      </w:r>
      <w:r w:rsidRPr="00750A56">
        <w:rPr>
          <w:rFonts w:ascii="Times New Roman" w:hAnsi="Times New Roman" w:cs="Times New Roman"/>
          <w:sz w:val="20"/>
          <w:szCs w:val="20"/>
          <w:lang w:val="pl-PL"/>
        </w:rPr>
        <w:t>Kwota w oparciu o czas trwania pobytu uczestnika, w tym osób towarzyszących (jeżeli to niezbędne), w tym także jeden dzień na podróży przed działaniem i jeden dzień na podróży po zakończeniu działania.</w:t>
      </w:r>
    </w:p>
    <w:p w14:paraId="633D8DA2" w14:textId="77777777" w:rsidR="000C46CB" w:rsidRPr="00750A56" w:rsidRDefault="000C46CB" w:rsidP="00807145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it-IT" w:eastAsia="zh-CN"/>
        </w:rPr>
      </w:pPr>
    </w:p>
    <w:p w14:paraId="70C28F42" w14:textId="77777777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it-IT" w:eastAsia="zh-CN"/>
        </w:rPr>
      </w:pPr>
    </w:p>
    <w:p w14:paraId="72FEC737" w14:textId="60B39C45" w:rsidR="00CB1CEC" w:rsidRPr="00750A56" w:rsidRDefault="00CB1CEC" w:rsidP="00CB1CEC">
      <w:pPr>
        <w:spacing w:after="0" w:line="240" w:lineRule="auto"/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</w:pPr>
      <w:r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  <w:t xml:space="preserve">5. c. </w:t>
      </w:r>
      <w:r w:rsidR="000C46CB"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  <w:t>Wsparcie językowe</w:t>
      </w:r>
    </w:p>
    <w:p w14:paraId="26568E1F" w14:textId="77777777" w:rsidR="000C46CB" w:rsidRPr="00750A56" w:rsidRDefault="000C46CB" w:rsidP="00807145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</w:pPr>
    </w:p>
    <w:p w14:paraId="332D8D15" w14:textId="6ABAB1CC" w:rsidR="00CB1CEC" w:rsidRPr="00750A56" w:rsidRDefault="000C46CB" w:rsidP="00807145">
      <w:pPr>
        <w:spacing w:after="0" w:line="240" w:lineRule="auto"/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</w:pPr>
      <w:r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 xml:space="preserve">Dotyczy </w:t>
      </w:r>
      <w:r w:rsidR="00042731"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>wyłącznie</w:t>
      </w:r>
      <w:r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 xml:space="preserve"> działań </w:t>
      </w:r>
      <w:r w:rsidR="00042731"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>trwających</w:t>
      </w:r>
      <w:r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 xml:space="preserve"> od 2 do 12 miesięcy: </w:t>
      </w:r>
      <w:r w:rsidR="00CB1CEC" w:rsidRPr="00750A56">
        <w:rPr>
          <w:rFonts w:ascii="Times New Roman" w:eastAsia="SimSun" w:hAnsi="Times New Roman" w:cs="Times New Roman"/>
          <w:b/>
          <w:snapToGrid w:val="0"/>
          <w:kern w:val="3"/>
          <w:sz w:val="24"/>
          <w:szCs w:val="24"/>
          <w:lang w:val="pl-PL" w:eastAsia="zh-CN"/>
        </w:rPr>
        <w:t>150 EUR</w:t>
      </w:r>
      <w:r w:rsidR="00CB1CEC"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 xml:space="preserve"> </w:t>
      </w:r>
      <w:r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>na uczestnika</w:t>
      </w:r>
      <w:r w:rsidR="00CB1CEC" w:rsidRPr="00750A56">
        <w:rPr>
          <w:rFonts w:ascii="Times New Roman" w:eastAsia="SimSun" w:hAnsi="Times New Roman" w:cs="Times New Roman"/>
          <w:snapToGrid w:val="0"/>
          <w:kern w:val="3"/>
          <w:sz w:val="24"/>
          <w:szCs w:val="24"/>
          <w:lang w:val="pl-PL" w:eastAsia="zh-CN"/>
        </w:rPr>
        <w:t xml:space="preserve"> </w:t>
      </w:r>
    </w:p>
    <w:p w14:paraId="758A1B18" w14:textId="77777777" w:rsidR="00CB1CEC" w:rsidRPr="00750A56" w:rsidRDefault="00CB1CEC" w:rsidP="00CB1CEC">
      <w:pPr>
        <w:spacing w:after="0" w:line="240" w:lineRule="auto"/>
        <w:rPr>
          <w:rFonts w:ascii="Times New Roman" w:hAnsi="Times New Roman" w:cs="Times New Roman"/>
          <w:lang w:val="pl-PL"/>
        </w:rPr>
      </w:pPr>
    </w:p>
    <w:p w14:paraId="4E3E57F6" w14:textId="77777777" w:rsidR="00A72505" w:rsidRPr="00750A56" w:rsidRDefault="00A72505">
      <w:pPr>
        <w:rPr>
          <w:rFonts w:ascii="Times New Roman" w:hAnsi="Times New Roman" w:cs="Times New Roman"/>
          <w:lang w:val="pl-PL"/>
        </w:rPr>
      </w:pPr>
    </w:p>
    <w:sectPr w:rsidR="00A72505" w:rsidRPr="00750A56" w:rsidSect="00DE0D1B">
      <w:headerReference w:type="default" r:id="rId11"/>
      <w:footerReference w:type="default" r:id="rId12"/>
      <w:footerReference w:type="first" r:id="rId13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F1EB" w14:textId="77777777" w:rsidR="00B9363E" w:rsidRDefault="00B9363E" w:rsidP="00B9363E">
      <w:pPr>
        <w:spacing w:after="0" w:line="240" w:lineRule="auto"/>
      </w:pPr>
      <w:r>
        <w:separator/>
      </w:r>
    </w:p>
  </w:endnote>
  <w:endnote w:type="continuationSeparator" w:id="0">
    <w:p w14:paraId="5C788B54" w14:textId="77777777" w:rsidR="00B9363E" w:rsidRDefault="00B9363E" w:rsidP="00B93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048E" w14:textId="0FBFA6E7" w:rsidR="00DE0D1B" w:rsidRDefault="00DE0D1B" w:rsidP="00DE0D1B">
    <w:pPr>
      <w:tabs>
        <w:tab w:val="right" w:leader="underscore" w:pos="963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sdt>
    <w:sdtPr>
      <w:id w:val="1146934996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14:paraId="3915938D" w14:textId="5F062511" w:rsidR="00DE0D1B" w:rsidRPr="00EF3BCB" w:rsidRDefault="00DE0D1B" w:rsidP="00DE0D1B">
        <w:pPr>
          <w:pStyle w:val="Stopka"/>
          <w:jc w:val="center"/>
          <w:rPr>
            <w:sz w:val="18"/>
            <w:szCs w:val="18"/>
          </w:rPr>
        </w:pPr>
        <w:r w:rsidRPr="00B1036B">
          <w:rPr>
            <w:sz w:val="18"/>
            <w:szCs w:val="18"/>
          </w:rPr>
          <w:fldChar w:fldCharType="begin"/>
        </w:r>
        <w:r w:rsidRPr="00EF3BCB">
          <w:rPr>
            <w:sz w:val="18"/>
            <w:szCs w:val="18"/>
          </w:rPr>
          <w:instrText xml:space="preserve"> PAGE   \* MERGEFORMAT </w:instrText>
        </w:r>
        <w:r w:rsidRPr="00B1036B">
          <w:rPr>
            <w:sz w:val="18"/>
            <w:szCs w:val="18"/>
          </w:rPr>
          <w:fldChar w:fldCharType="separate"/>
        </w:r>
        <w:r w:rsidR="00750A56" w:rsidRPr="00750A56">
          <w:rPr>
            <w:noProof/>
            <w:sz w:val="18"/>
            <w:szCs w:val="18"/>
            <w:lang w:val="pl-PL"/>
          </w:rPr>
          <w:t>4</w:t>
        </w:r>
        <w:r w:rsidRPr="00B1036B">
          <w:rPr>
            <w:sz w:val="18"/>
            <w:szCs w:val="18"/>
          </w:rPr>
          <w:fldChar w:fldCharType="end"/>
        </w:r>
      </w:p>
    </w:sdtContent>
  </w:sdt>
  <w:p w14:paraId="0BCA6B82" w14:textId="77777777" w:rsidR="00DE0D1B" w:rsidRPr="00DE0D1B" w:rsidRDefault="00DE0D1B" w:rsidP="00DE0D1B">
    <w:pPr>
      <w:tabs>
        <w:tab w:val="right" w:pos="9639"/>
      </w:tabs>
      <w:spacing w:after="0" w:line="240" w:lineRule="auto"/>
      <w:rPr>
        <w:sz w:val="16"/>
        <w:szCs w:val="16"/>
        <w:lang w:val="pl-PL"/>
      </w:rPr>
    </w:pPr>
    <w:r w:rsidRPr="00DE0D1B">
      <w:rPr>
        <w:sz w:val="16"/>
        <w:szCs w:val="16"/>
        <w:lang w:val="pl-PL"/>
      </w:rPr>
      <w:t>Erasmus+</w:t>
    </w:r>
    <w:r w:rsidRPr="00DE0D1B">
      <w:rPr>
        <w:sz w:val="16"/>
        <w:szCs w:val="16"/>
        <w:lang w:val="pl-PL"/>
      </w:rPr>
      <w:tab/>
      <w:t>Partnerstwa na rzecz współpracy (KA2)</w:t>
    </w:r>
  </w:p>
  <w:p w14:paraId="26B1022F" w14:textId="5D6BD869" w:rsidR="00B9363E" w:rsidRPr="00DE0D1B" w:rsidRDefault="008032B8" w:rsidP="00DE0D1B">
    <w:pPr>
      <w:tabs>
        <w:tab w:val="right" w:pos="9639"/>
      </w:tabs>
      <w:spacing w:after="0" w:line="240" w:lineRule="auto"/>
      <w:ind w:right="-41"/>
      <w:rPr>
        <w:sz w:val="16"/>
        <w:szCs w:val="16"/>
        <w:lang w:val="pl-PL"/>
      </w:rPr>
    </w:pPr>
    <w:hyperlink r:id="rId1">
      <w:r w:rsidR="00DE0D1B" w:rsidRPr="00DE0D1B">
        <w:rPr>
          <w:sz w:val="16"/>
          <w:szCs w:val="16"/>
          <w:lang w:val="pl-PL"/>
        </w:rPr>
        <w:t>http://erasmusplus.org.pl</w:t>
      </w:r>
    </w:hyperlink>
    <w:r w:rsidR="00DE0D1B" w:rsidRPr="00DE0D1B">
      <w:rPr>
        <w:sz w:val="16"/>
        <w:szCs w:val="16"/>
        <w:lang w:val="pl-PL"/>
      </w:rPr>
      <w:tab/>
      <w:t>Partnerstwa współpracy (KA220)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8FC3B" w14:textId="77777777" w:rsidR="00DE0D1B" w:rsidRDefault="00DE0D1B" w:rsidP="00DE0D1B">
    <w:pPr>
      <w:tabs>
        <w:tab w:val="right" w:leader="underscore" w:pos="9639"/>
      </w:tabs>
      <w:spacing w:after="0" w:line="240" w:lineRule="auto"/>
      <w:rPr>
        <w:sz w:val="16"/>
        <w:szCs w:val="16"/>
      </w:rPr>
    </w:pPr>
    <w:r>
      <w:rPr>
        <w:sz w:val="16"/>
        <w:szCs w:val="16"/>
      </w:rPr>
      <w:tab/>
    </w:r>
  </w:p>
  <w:p w14:paraId="3F01448B" w14:textId="722EFA5F" w:rsidR="00DE0D1B" w:rsidRPr="00B1036B" w:rsidRDefault="00DE0D1B" w:rsidP="00DE0D1B">
    <w:pPr>
      <w:pStyle w:val="Stopka"/>
      <w:jc w:val="center"/>
      <w:rPr>
        <w:sz w:val="18"/>
        <w:szCs w:val="18"/>
      </w:rPr>
    </w:pPr>
  </w:p>
  <w:p w14:paraId="2EAF4B8F" w14:textId="77777777" w:rsidR="00DE0D1B" w:rsidRPr="00DE0D1B" w:rsidRDefault="00DE0D1B" w:rsidP="00DE0D1B">
    <w:pPr>
      <w:tabs>
        <w:tab w:val="right" w:pos="9639"/>
      </w:tabs>
      <w:spacing w:after="0" w:line="240" w:lineRule="auto"/>
      <w:rPr>
        <w:sz w:val="16"/>
        <w:szCs w:val="16"/>
        <w:lang w:val="pl-PL"/>
      </w:rPr>
    </w:pPr>
    <w:r w:rsidRPr="00DE0D1B">
      <w:rPr>
        <w:sz w:val="16"/>
        <w:szCs w:val="16"/>
        <w:lang w:val="pl-PL"/>
      </w:rPr>
      <w:t>Erasmus+</w:t>
    </w:r>
    <w:r w:rsidRPr="00DE0D1B">
      <w:rPr>
        <w:sz w:val="16"/>
        <w:szCs w:val="16"/>
        <w:lang w:val="pl-PL"/>
      </w:rPr>
      <w:tab/>
      <w:t>Partnerstwa na rzecz współpracy (KA2)</w:t>
    </w:r>
  </w:p>
  <w:p w14:paraId="7C48D6CC" w14:textId="7A271489" w:rsidR="00DE0D1B" w:rsidRPr="00DE0D1B" w:rsidRDefault="008032B8" w:rsidP="00DE0D1B">
    <w:pPr>
      <w:tabs>
        <w:tab w:val="right" w:pos="9639"/>
      </w:tabs>
      <w:spacing w:after="0" w:line="240" w:lineRule="auto"/>
      <w:ind w:right="-41"/>
      <w:rPr>
        <w:lang w:val="pl-PL"/>
      </w:rPr>
    </w:pPr>
    <w:hyperlink r:id="rId1">
      <w:r w:rsidR="00DE0D1B" w:rsidRPr="00DE0D1B">
        <w:rPr>
          <w:sz w:val="16"/>
          <w:szCs w:val="16"/>
          <w:lang w:val="pl-PL"/>
        </w:rPr>
        <w:t>http://erasmusplus.org.pl</w:t>
      </w:r>
    </w:hyperlink>
    <w:r w:rsidR="00DE0D1B" w:rsidRPr="00DE0D1B">
      <w:rPr>
        <w:sz w:val="16"/>
        <w:szCs w:val="16"/>
        <w:lang w:val="pl-PL"/>
      </w:rPr>
      <w:tab/>
      <w:t>Partnerstwa współpracy (KA220)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F317A" w14:textId="77777777" w:rsidR="00B9363E" w:rsidRDefault="00B9363E" w:rsidP="00B9363E">
      <w:pPr>
        <w:spacing w:after="0" w:line="240" w:lineRule="auto"/>
      </w:pPr>
      <w:r>
        <w:separator/>
      </w:r>
    </w:p>
  </w:footnote>
  <w:footnote w:type="continuationSeparator" w:id="0">
    <w:p w14:paraId="7E89D7C7" w14:textId="77777777" w:rsidR="00B9363E" w:rsidRDefault="00B9363E" w:rsidP="00B93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CD4E8" w14:textId="240909CF" w:rsidR="00DE0D1B" w:rsidRPr="00DE0D1B" w:rsidRDefault="00DE0D1B" w:rsidP="00DE0D1B">
    <w:pPr>
      <w:pStyle w:val="Nagwek"/>
      <w:jc w:val="right"/>
      <w:rPr>
        <w:lang w:val="pl-PL"/>
      </w:rPr>
    </w:pPr>
    <w:r w:rsidRPr="00DE0D1B">
      <w:rPr>
        <w:lang w:val="pl-PL"/>
      </w:rPr>
      <w:t>Załącznik IV, MULTI-BEN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BD7649"/>
    <w:multiLevelType w:val="hybridMultilevel"/>
    <w:tmpl w:val="B8FC15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39FC"/>
    <w:rsid w:val="00042731"/>
    <w:rsid w:val="000A7445"/>
    <w:rsid w:val="000C46CB"/>
    <w:rsid w:val="001116D3"/>
    <w:rsid w:val="00224787"/>
    <w:rsid w:val="002A3613"/>
    <w:rsid w:val="003224C9"/>
    <w:rsid w:val="00336944"/>
    <w:rsid w:val="004C6C77"/>
    <w:rsid w:val="00584A84"/>
    <w:rsid w:val="005C39FC"/>
    <w:rsid w:val="006338F4"/>
    <w:rsid w:val="00635C93"/>
    <w:rsid w:val="006520A8"/>
    <w:rsid w:val="00750A56"/>
    <w:rsid w:val="007726F0"/>
    <w:rsid w:val="00772C3C"/>
    <w:rsid w:val="007868A9"/>
    <w:rsid w:val="007A4875"/>
    <w:rsid w:val="008032B8"/>
    <w:rsid w:val="00807145"/>
    <w:rsid w:val="00850850"/>
    <w:rsid w:val="00A72505"/>
    <w:rsid w:val="00B9363E"/>
    <w:rsid w:val="00CB1CEC"/>
    <w:rsid w:val="00DE0D1B"/>
    <w:rsid w:val="00EF3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5CC1099"/>
  <w15:docId w15:val="{5A94266E-A0B7-404A-AD06-3253B8E1C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1CEC"/>
    <w:pPr>
      <w:spacing w:after="200" w:line="276" w:lineRule="auto"/>
    </w:pPr>
    <w:rPr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B1CEC"/>
    <w:pPr>
      <w:ind w:left="720"/>
      <w:contextualSpacing/>
    </w:pPr>
  </w:style>
  <w:style w:type="table" w:styleId="Tabela-Siatka">
    <w:name w:val="Table Grid"/>
    <w:basedOn w:val="Standardowy"/>
    <w:uiPriority w:val="39"/>
    <w:rsid w:val="00CB1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1CEC"/>
    <w:rPr>
      <w:rFonts w:ascii="Segoe UI" w:hAnsi="Segoe UI" w:cs="Segoe UI"/>
      <w:sz w:val="18"/>
      <w:szCs w:val="18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9363E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B936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9363E"/>
    <w:rPr>
      <w:lang w:val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4A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4A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4A84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4A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4A84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5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rasmusplus.org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C_Collab_Status xmlns="ab5acbb8-d540-4bde-93f8-a15e5c433b31">Not Started</EC_Collab_Status>
    <EC_Collab_DocumentLanguage xmlns="ab5acbb8-d540-4bde-93f8-a15e5c433b31">EN</EC_Collab_DocumentLanguage>
    <EC_Collab_Reference xmlns="ab5acbb8-d540-4bde-93f8-a15e5c433b3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6454C2729B2C39429C0144C378278EF4" ma:contentTypeVersion="8" ma:contentTypeDescription="Create a new document in this library." ma:contentTypeScope="" ma:versionID="dd1554fab6842481b1152345a43f7b0a">
  <xsd:schema xmlns:xsd="http://www.w3.org/2001/XMLSchema" xmlns:xs="http://www.w3.org/2001/XMLSchema" xmlns:p="http://schemas.microsoft.com/office/2006/metadata/properties" xmlns:ns3="ab5acbb8-d540-4bde-93f8-a15e5c433b31" targetNamespace="http://schemas.microsoft.com/office/2006/metadata/properties" ma:root="true" ma:fieldsID="26b4ee064ee29ee62d6d7f877afa782d" ns3:_="">
    <xsd:import namespace="ab5acbb8-d540-4bde-93f8-a15e5c433b31"/>
    <xsd:element name="properties">
      <xsd:complexType>
        <xsd:sequence>
          <xsd:element name="documentManagement">
            <xsd:complexType>
              <xsd:all>
                <xsd:element ref="ns3:EC_Collab_Reference" minOccurs="0"/>
                <xsd:element ref="ns3:EC_Collab_DocumentLanguage"/>
                <xsd:element ref="ns3:EC_Collab_Status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acbb8-d540-4bde-93f8-a15e5c433b31" elementFormDefault="qualified">
    <xsd:import namespace="http://schemas.microsoft.com/office/2006/documentManagement/types"/>
    <xsd:import namespace="http://schemas.microsoft.com/office/infopath/2007/PartnerControls"/>
    <xsd:element name="EC_Collab_Reference" ma:index="12" nillable="true" ma:displayName="Reference" ma:internalName="EC_Collab_Reference">
      <xsd:simpleType>
        <xsd:restriction base="dms:Text"/>
      </xsd:simpleType>
    </xsd:element>
    <xsd:element name="EC_Collab_DocumentLanguage" ma:index="13" ma:displayName="Language" ma:default="EN" ma:internalName="EC_Collab_DocumentLanguage">
      <xsd:simpleType>
        <xsd:restriction base="dms:Choice">
          <xsd:enumeration value="BG"/>
          <xsd:enumeration value="ES"/>
          <xsd:enumeration value="CS"/>
          <xsd:enumeration value="DA"/>
          <xsd:enumeration value="DE"/>
          <xsd:enumeration value="ET"/>
          <xsd:enumeration value="EL"/>
          <xsd:enumeration value="EN"/>
          <xsd:enumeration value="FR"/>
          <xsd:enumeration value="GA"/>
          <xsd:enumeration value="IT"/>
          <xsd:enumeration value="LT"/>
          <xsd:enumeration value="LV"/>
          <xsd:enumeration value="HU"/>
          <xsd:enumeration value="MT"/>
          <xsd:enumeration value="NL"/>
          <xsd:enumeration value="PL"/>
          <xsd:enumeration value="PT"/>
          <xsd:enumeration value="RO"/>
          <xsd:enumeration value="SK"/>
          <xsd:enumeration value="SL"/>
          <xsd:enumeration value="FI"/>
          <xsd:enumeration value="SV"/>
          <xsd:enumeration value="HR"/>
          <xsd:enumeration value="MK"/>
          <xsd:enumeration value="TR"/>
          <xsd:enumeration value="EU"/>
          <xsd:enumeration value="CA"/>
          <xsd:enumeration value="GL"/>
          <xsd:enumeration value="AB"/>
          <xsd:enumeration value="AA"/>
          <xsd:enumeration value="AF"/>
          <xsd:enumeration value="AK"/>
          <xsd:enumeration value="SQ"/>
          <xsd:enumeration value="AM"/>
          <xsd:enumeration value="AR"/>
          <xsd:enumeration value="AN"/>
          <xsd:enumeration value="HY"/>
          <xsd:enumeration value="AS"/>
          <xsd:enumeration value="AV"/>
          <xsd:enumeration value="AE"/>
          <xsd:enumeration value="AY"/>
          <xsd:enumeration value="AZ"/>
          <xsd:enumeration value="BM"/>
          <xsd:enumeration value="BA"/>
          <xsd:enumeration value="BE"/>
          <xsd:enumeration value="BN"/>
          <xsd:enumeration value="BH"/>
          <xsd:enumeration value="BI"/>
          <xsd:enumeration value="NB"/>
          <xsd:enumeration value="BS"/>
          <xsd:enumeration value="BR"/>
          <xsd:enumeration value="MY"/>
          <xsd:enumeration value="KM"/>
          <xsd:enumeration value="CH"/>
          <xsd:enumeration value="CE"/>
          <xsd:enumeration value="NY"/>
          <xsd:enumeration value="ZH"/>
          <xsd:enumeration value="CU"/>
          <xsd:enumeration value="CV"/>
          <xsd:enumeration value="KW"/>
          <xsd:enumeration value="CO"/>
          <xsd:enumeration value="CR"/>
          <xsd:enumeration value="DV"/>
          <xsd:enumeration value="DZ"/>
          <xsd:enumeration value="EO"/>
          <xsd:enumeration value="EE"/>
          <xsd:enumeration value="FO"/>
          <xsd:enumeration value="FJ"/>
          <xsd:enumeration value="FF"/>
          <xsd:enumeration value="GD"/>
          <xsd:enumeration value="LG"/>
          <xsd:enumeration value="KA"/>
          <xsd:enumeration value="GN"/>
          <xsd:enumeration value="GU"/>
          <xsd:enumeration value="HT"/>
          <xsd:enumeration value="HA"/>
          <xsd:enumeration value="HE"/>
          <xsd:enumeration value="HZ"/>
          <xsd:enumeration value="HI"/>
          <xsd:enumeration value="HO"/>
          <xsd:enumeration value="IS"/>
          <xsd:enumeration value="IO"/>
          <xsd:enumeration value="IG"/>
          <xsd:enumeration value="ID"/>
          <xsd:enumeration value="IA"/>
          <xsd:enumeration value="IE"/>
          <xsd:enumeration value="IU"/>
          <xsd:enumeration value="IK"/>
          <xsd:enumeration value="JA"/>
          <xsd:enumeration value="JV"/>
          <xsd:enumeration value="KL"/>
          <xsd:enumeration value="KN"/>
          <xsd:enumeration value="KR"/>
          <xsd:enumeration value="KS"/>
          <xsd:enumeration value="KK"/>
          <xsd:enumeration value="KI"/>
          <xsd:enumeration value="RW"/>
          <xsd:enumeration value="KY"/>
          <xsd:enumeration value="KV"/>
          <xsd:enumeration value="KG"/>
          <xsd:enumeration value="KO"/>
          <xsd:enumeration value="KJ"/>
          <xsd:enumeration value="KU"/>
          <xsd:enumeration value="LO"/>
          <xsd:enumeration value="LA"/>
          <xsd:enumeration value="LI"/>
          <xsd:enumeration value="LN"/>
          <xsd:enumeration value="LU"/>
          <xsd:enumeration value="LB"/>
          <xsd:enumeration value="MG"/>
          <xsd:enumeration value="MS"/>
          <xsd:enumeration value="ML"/>
          <xsd:enumeration value="GV"/>
          <xsd:enumeration value="MI"/>
          <xsd:enumeration value="MR"/>
          <xsd:enumeration value="MH"/>
          <xsd:enumeration value="MN"/>
          <xsd:enumeration value="NA"/>
          <xsd:enumeration value="NV"/>
          <xsd:enumeration value="ND"/>
          <xsd:enumeration value="NR"/>
          <xsd:enumeration value="NG"/>
          <xsd:enumeration value="NE"/>
          <xsd:enumeration value="SE"/>
          <xsd:enumeration value="NO"/>
          <xsd:enumeration value="NN"/>
          <xsd:enumeration value="OC"/>
          <xsd:enumeration value="OJ"/>
          <xsd:enumeration value="OR"/>
          <xsd:enumeration value="OM"/>
          <xsd:enumeration value="OS"/>
          <xsd:enumeration value="PI"/>
          <xsd:enumeration value="PA"/>
          <xsd:enumeration value="FA"/>
          <xsd:enumeration value="PS"/>
          <xsd:enumeration value="QU"/>
          <xsd:enumeration value="RM"/>
          <xsd:enumeration value="RN"/>
          <xsd:enumeration value="RU"/>
          <xsd:enumeration value="SM"/>
          <xsd:enumeration value="SG"/>
          <xsd:enumeration value="SA"/>
          <xsd:enumeration value="SC"/>
          <xsd:enumeration value="SR"/>
          <xsd:enumeration value="SN"/>
          <xsd:enumeration value="II"/>
          <xsd:enumeration value="SD"/>
          <xsd:enumeration value="SI"/>
          <xsd:enumeration value="SO"/>
          <xsd:enumeration value="ST"/>
          <xsd:enumeration value="SU"/>
          <xsd:enumeration value="SW"/>
          <xsd:enumeration value="SS"/>
          <xsd:enumeration value="TL"/>
          <xsd:enumeration value="TY"/>
          <xsd:enumeration value="TG"/>
          <xsd:enumeration value="TA"/>
          <xsd:enumeration value="TT"/>
          <xsd:enumeration value="TE"/>
          <xsd:enumeration value="TH"/>
          <xsd:enumeration value="BO"/>
          <xsd:enumeration value="TI"/>
          <xsd:enumeration value="TO"/>
          <xsd:enumeration value="TS"/>
          <xsd:enumeration value="TN"/>
          <xsd:enumeration value="TK"/>
          <xsd:enumeration value="TW"/>
          <xsd:enumeration value="UG"/>
          <xsd:enumeration value="UK"/>
          <xsd:enumeration value="UR"/>
          <xsd:enumeration value="UZ"/>
          <xsd:enumeration value="VE"/>
          <xsd:enumeration value="VI"/>
          <xsd:enumeration value="VO"/>
          <xsd:enumeration value="WA"/>
          <xsd:enumeration value="CY"/>
          <xsd:enumeration value="FY"/>
          <xsd:enumeration value="WO"/>
          <xsd:enumeration value="XH"/>
          <xsd:enumeration value="YI"/>
          <xsd:enumeration value="YO"/>
          <xsd:enumeration value="ZA"/>
          <xsd:enumeration value="ZU"/>
        </xsd:restriction>
      </xsd:simpleType>
    </xsd:element>
    <xsd:element name="EC_Collab_Status" ma:index="14" ma:displayName="EC Status" ma:default="Not Started" ma:internalName="EC_Collab_Status">
      <xsd:simpleType>
        <xsd:restriction base="dms:Choice">
          <xsd:enumeration value="Not Started"/>
          <xsd:enumeration value="Draft"/>
          <xsd:enumeration value="Reviewed"/>
          <xsd:enumeration value="Scheduled"/>
          <xsd:enumeration value="Published"/>
          <xsd:enumeration value="Final"/>
          <xsd:enumeration value="Expir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9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 ma:index="8" ma:displayName="Subject"/>
        <xsd:element ref="dc:description" minOccurs="0" maxOccurs="1" ma:index="11" ma:displayName="Comments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FED9F3-8CA7-4AC2-A8C1-B49AE9C622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54AE70-B843-4494-8E85-17115D1E0230}">
  <ds:schemaRefs>
    <ds:schemaRef ds:uri="http://schemas.microsoft.com/office/infopath/2007/PartnerControls"/>
    <ds:schemaRef ds:uri="ab5acbb8-d540-4bde-93f8-a15e5c433b31"/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6214E4D-4965-42F9-A909-CE88A7A7CA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acbb8-d540-4bde-93f8-a15e5c433b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A034D5A-F639-4264-96DB-E3EBF1B025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5944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KALINOVA Neli (EAC)</dc:creator>
  <cp:lastModifiedBy>Dorota Rytwińska</cp:lastModifiedBy>
  <cp:revision>2</cp:revision>
  <dcterms:created xsi:type="dcterms:W3CDTF">2021-11-05T11:24:00Z</dcterms:created>
  <dcterms:modified xsi:type="dcterms:W3CDTF">2021-11-05T11:24:00Z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0x010100258AA79CEB83498886A3A08681123250006454C2729B2C39429C0144C378278EF4</vt:lpwstr>
  </property>
</Properties>
</file>