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FF6C" w14:textId="77777777" w:rsidR="00887EAC" w:rsidRPr="00887EAC" w:rsidRDefault="00887EAC" w:rsidP="00887EAC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887EAC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5D1BB417" w14:textId="4DEC37C9" w:rsidR="00887EAC" w:rsidRDefault="000802C0" w:rsidP="000802C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0802C0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KA </w:t>
      </w:r>
      <w:r w:rsidR="00887EAC" w:rsidRPr="000802C0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151</w:t>
      </w:r>
    </w:p>
    <w:p w14:paraId="77A90536" w14:textId="008DA544" w:rsidR="000802C0" w:rsidRDefault="000802C0" w:rsidP="000802C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(you)</w:t>
      </w:r>
    </w:p>
    <w:p w14:paraId="50EA65C0" w14:textId="77777777" w:rsidR="000802C0" w:rsidRPr="00887EAC" w:rsidRDefault="000802C0" w:rsidP="000802C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0AD8B8BD" w14:textId="77777777" w:rsidR="00887EAC" w:rsidRPr="00887EAC" w:rsidRDefault="00887EAC" w:rsidP="00887EAC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3733F118" w14:textId="77777777" w:rsidR="00887EAC" w:rsidRPr="00887EAC" w:rsidRDefault="00887EAC" w:rsidP="00887EAC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887EA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EB4F5AA" w14:textId="226275AF" w:rsidR="00887EAC" w:rsidRPr="00887EAC" w:rsidRDefault="00887EAC" w:rsidP="00887EA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D842D4" w:rsidRPr="00D842D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(tj. wspólne przejazdy samochodem co najmniej dwóch pasażerów, gdzie kierowca dzieli koszty na paliwo wspólnie z pasażerem/pasażerami)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 pociąg. </w:t>
      </w:r>
      <w:r w:rsidR="00024FE6">
        <w:rPr>
          <w:rFonts w:ascii="Times New Roman" w:eastAsia="Calibri" w:hAnsi="Times New Roman" w:cs="Times New Roman"/>
          <w:kern w:val="0"/>
          <w:sz w:val="24"/>
          <w14:ligatures w14:val="none"/>
        </w:rPr>
        <w:t>Agencja narodowa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może uznać inne środki transportu za zrównoważone w oparciu o utrwaloną praktykę, indywidualnie dla każdego przypadku. </w:t>
      </w:r>
    </w:p>
    <w:p w14:paraId="5F4173B1" w14:textId="15121291" w:rsidR="00887EAC" w:rsidRPr="00887EAC" w:rsidRDefault="00887EAC" w:rsidP="00887EAC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005178EF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</w:t>
      </w:r>
      <w:r w:rsidR="000802C0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odległości</w:t>
      </w:r>
      <w:r w:rsidR="005178EF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)</w:t>
      </w:r>
      <w:r w:rsidRPr="00887EAC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6D002D95" w14:textId="36496D00" w:rsidR="00887EAC" w:rsidRPr="00887EAC" w:rsidRDefault="00887EAC" w:rsidP="00887EA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66843825"/>
      <w:r w:rsidRPr="00887EA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887EAC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024FE6">
        <w:rPr>
          <w:rFonts w:ascii="Times New Roman" w:eastAsia="Calibri" w:hAnsi="Times New Roman" w:cs="Times New Roman"/>
          <w:kern w:val="0"/>
          <w:sz w:val="24"/>
          <w14:ligatures w14:val="none"/>
        </w:rPr>
        <w:t>koszt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</w:t>
      </w:r>
      <w:r w:rsidR="00024FE6">
        <w:rPr>
          <w:rFonts w:ascii="Times New Roman" w:eastAsia="Calibri" w:hAnsi="Times New Roman" w:cs="Times New Roman"/>
          <w:kern w:val="0"/>
          <w:sz w:val="24"/>
          <w14:ligatures w14:val="none"/>
        </w:rPr>
        <w:t>y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obie strony między miejscem wyjazdu a miejscem przyjazdu.</w:t>
      </w:r>
    </w:p>
    <w:bookmarkEnd w:id="0"/>
    <w:p w14:paraId="3CB435A0" w14:textId="77777777" w:rsidR="005178EF" w:rsidRDefault="00887EAC" w:rsidP="6FE9BE68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6FE9BE6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887EAC">
        <w:rPr>
          <w:rFonts w:ascii="Times New Roman" w:eastAsia="Calibri" w:hAnsi="Times New Roman" w:cs="Times New Roman"/>
          <w:kern w:val="0"/>
          <w14:ligatures w14:val="none"/>
        </w:rPr>
        <w:t xml:space="preserve">:  </w:t>
      </w:r>
      <w:r w:rsidRPr="6FE9BE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887EAC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6FE9BE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AE196A1" w14:textId="3066C5D1" w:rsidR="00887EAC" w:rsidRPr="00887EAC" w:rsidRDefault="00887EAC" w:rsidP="00887EAC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B2355D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5178EF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7B5C6EBC" w14:textId="77777777" w:rsidR="00887EAC" w:rsidRPr="00887EAC" w:rsidRDefault="00887EAC" w:rsidP="00887EAC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241110BE" w14:textId="40A8E047" w:rsidR="00887EAC" w:rsidRPr="00887EAC" w:rsidRDefault="00887EAC" w:rsidP="00887EAC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 Podróż</w:t>
      </w:r>
      <w:r w:rsidR="00DA255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e</w:t>
      </w:r>
      <w:r w:rsidRPr="00887EAC">
        <w:rPr>
          <w:rFonts w:ascii="Times New Roman Bold" w:eastAsia="Times New Roman" w:hAnsi="Times New Roman Bold" w:cs="Times New Roman"/>
          <w:bCs/>
          <w:kern w:val="0"/>
          <w:sz w:val="24"/>
          <w:szCs w:val="26"/>
          <w14:ligatures w14:val="none"/>
        </w:rPr>
        <w:t xml:space="preserve"> </w:t>
      </w:r>
    </w:p>
    <w:p w14:paraId="3DBC18F9" w14:textId="77777777" w:rsidR="00887EAC" w:rsidRPr="00887EAC" w:rsidRDefault="00887EAC" w:rsidP="00887EAC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7416DB06" w14:textId="5FA60BD2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</w:t>
      </w:r>
      <w:r w:rsidR="005178EF">
        <w:rPr>
          <w:rFonts w:ascii="Times New Roman" w:eastAsia="Calibri" w:hAnsi="Times New Roman" w:cs="Times New Roman"/>
          <w:kern w:val="0"/>
          <w:sz w:val="24"/>
          <w14:ligatures w14:val="none"/>
        </w:rPr>
        <w:t>wsparcia</w:t>
      </w:r>
      <w:r w:rsidR="005178EF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podróży oblicza się, mnożąc liczbę uczestników i osób towarzyszących, osób wspomagających proces kształcenia oraz liderów grupy w danym przedziale odległości przez wkład jednostkowy mający zastosowanie do danego przedziału odległości i rodzaju podróży (z wykorzystaniem</w:t>
      </w:r>
      <w:r w:rsidR="005178EF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bez wykorzystania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ekologicznych środków transportu), jak określono w załączniku 3 do umowy. </w:t>
      </w:r>
    </w:p>
    <w:p w14:paraId="2BDD7BD4" w14:textId="00205088" w:rsidR="00887EAC" w:rsidRPr="00887EAC" w:rsidRDefault="00887EAC" w:rsidP="00887EA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 przypadku działań objazdowych całkowity wkład jednostkowy oblicza się, mnożąc liczbę uczestników w danym przedziale odległości odpowiadającym sumie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odległości między poszczególnymi miejscami przez wkład jednostkowy mający zastosowanie do danego przedziału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odległości i rodzaju podróży (z wykorzystaniem</w:t>
      </w:r>
      <w:r w:rsidR="005178EF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bez wykorzystania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ekologicznych środków transportu), jak określono w załączniku 3 do umowy.</w:t>
      </w:r>
    </w:p>
    <w:p w14:paraId="6AE43739" w14:textId="77777777" w:rsidR="00887EAC" w:rsidRPr="00887EAC" w:rsidRDefault="00887EAC" w:rsidP="00887EA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8" w:history="1">
        <w:r w:rsidRPr="00887EAC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50278349" w14:textId="77777777" w:rsidR="00887EAC" w:rsidRPr="00887EAC" w:rsidRDefault="00887EAC" w:rsidP="00887EA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16E471D8" w14:textId="77777777" w:rsidR="00887EAC" w:rsidRPr="00887EAC" w:rsidRDefault="00887EAC" w:rsidP="00887EAC">
      <w:pPr>
        <w:numPr>
          <w:ilvl w:val="0"/>
          <w:numId w:val="2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54F03BA4" w14:textId="05854DAA" w:rsidR="00887EAC" w:rsidRPr="00887EAC" w:rsidRDefault="005178EF" w:rsidP="00887EA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Wsparcie</w:t>
      </w:r>
      <w:r w:rsidR="00887EAC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887EAC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działanie.</w:t>
      </w:r>
    </w:p>
    <w:p w14:paraId="1F2CEA0E" w14:textId="77777777" w:rsidR="00887EAC" w:rsidRPr="00887EAC" w:rsidRDefault="00887EAC" w:rsidP="00887EAC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91BEF02" w14:textId="77777777" w:rsidR="00887EAC" w:rsidRPr="00887EAC" w:rsidRDefault="00887EAC" w:rsidP="00887EAC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5FACE3FC" w14:textId="77777777" w:rsidR="00887EAC" w:rsidRPr="00887EAC" w:rsidRDefault="00887EAC" w:rsidP="00887EAC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6B32699" w14:textId="55E4FAF1" w:rsidR="00887EAC" w:rsidRPr="00887EAC" w:rsidRDefault="005178EF" w:rsidP="00887EA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oświadczeni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e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podpisane przez uczestnika (w tym przez osoby prowadzące szkolenia, osoby wspomagające proces kształcenia, liderów grupy i decydentów</w:t>
      </w:r>
      <w:r w:rsidR="00893A4D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="00883CE0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,</w:t>
      </w:r>
      <w:r w:rsidR="00893A4D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</w:t>
      </w:r>
      <w:r w:rsidR="000F03B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soby towarzyszące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)</w:t>
      </w:r>
      <w:r w:rsidR="000E7969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oraz organizację przyjmującą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, w którym to oświadczeniu wyszczególniono imię i nazwisko uczestnika/osoby towarzyszącej, cel działania, a także daty jego rozpoczęcia i zakończenia.</w:t>
      </w:r>
    </w:p>
    <w:p w14:paraId="21DC6C36" w14:textId="480303CC" w:rsidR="00887EAC" w:rsidRPr="00887EAC" w:rsidRDefault="00887EAC" w:rsidP="00887EA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</w:p>
    <w:p w14:paraId="2030290A" w14:textId="77777777" w:rsidR="00887EAC" w:rsidRPr="00887EAC" w:rsidRDefault="00887EAC" w:rsidP="00887EA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A31ACE" w14:textId="36B57A7B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miejsce rozpoczęcia podróży jest inne niż miejsce </w:t>
      </w:r>
      <w:r w:rsidR="005D7216"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5178EF"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7648372F" w14:textId="77777777" w:rsidR="00887EAC" w:rsidRPr="00887EAC" w:rsidRDefault="00887EAC" w:rsidP="00887EAC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4B7A0B12" w14:textId="77777777" w:rsidR="00887EAC" w:rsidRPr="00887EAC" w:rsidRDefault="00887EAC" w:rsidP="00887EAC">
      <w:pPr>
        <w:numPr>
          <w:ilvl w:val="0"/>
          <w:numId w:val="3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24079B44" w14:textId="6B28A490" w:rsidR="00887EAC" w:rsidRPr="00887EAC" w:rsidRDefault="00887EAC" w:rsidP="00887EAC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liczbę dni w przeliczeniu na uczestnika i osobę towarzyszącą z uwzględnieniem decydentów, liderów grupy, osób prowadzących szkolenia i osób wspomagających proces kształcenia przez wkład jednostkowy mający zastosowanie w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przeliczeniu na dzień w danym kraju przyjmującym, jak określono w załączniku 3 do umowy. Można dodać dni podróży, jeżeli są one </w:t>
      </w:r>
      <w:r w:rsidR="005178EF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istotne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dla danego działania. </w:t>
      </w:r>
    </w:p>
    <w:p w14:paraId="52DC3E7E" w14:textId="77777777" w:rsidR="00887EAC" w:rsidRPr="00887EAC" w:rsidRDefault="00887EAC" w:rsidP="00887EAC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665649DA" w14:textId="77777777" w:rsidR="00887EAC" w:rsidRPr="00887EAC" w:rsidRDefault="00887EAC" w:rsidP="00887EAC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175C277C" w14:textId="77777777" w:rsidR="00887EAC" w:rsidRPr="00887EAC" w:rsidRDefault="00887EAC" w:rsidP="00887EAC">
      <w:pPr>
        <w:numPr>
          <w:ilvl w:val="0"/>
          <w:numId w:val="3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45637A1E" w14:textId="113E0706" w:rsidR="00887EAC" w:rsidRPr="00887EAC" w:rsidRDefault="00887EAC" w:rsidP="00887EAC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5178EF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5178EF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 w określonym czasie.</w:t>
      </w:r>
    </w:p>
    <w:p w14:paraId="1450A1F9" w14:textId="77777777" w:rsidR="00887EAC" w:rsidRPr="00887EAC" w:rsidRDefault="00887EAC" w:rsidP="00887EAC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3916FCEE" w14:textId="30B71EAE" w:rsidR="005178EF" w:rsidRDefault="005178EF" w:rsidP="00887EAC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Dokumentem potwierdzającym jest oświadczenie podpisane przez uczestnika i organizację przyjmującą, w którym wyszczególniono imię i nazwisko</w:t>
      </w:r>
      <w:r w:rsidR="00520B6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uczestnika, cel działania, a także daty jego rozpoczęcia i zakończenia.</w:t>
      </w:r>
    </w:p>
    <w:p w14:paraId="050CBF11" w14:textId="77777777" w:rsidR="00887EAC" w:rsidRPr="00887EAC" w:rsidRDefault="00887EAC" w:rsidP="00887EAC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550A9191" w14:textId="77777777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kern w:val="0"/>
          <w:sz w:val="24"/>
          <w:szCs w:val="24"/>
          <w14:ligatures w14:val="none"/>
        </w:rPr>
      </w:pPr>
      <w:bookmarkStart w:id="1" w:name="_Hlk116664147"/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Uczestnicy muszą skorzystać ze standardowego kwestionariusza internetowego udostępnionego przez Komisję Europejską (sprawozdanie uczestnika), aby przedstawić informacje faktyczne i ocenę działania w zakresie mobilności, jego przygotowania i działań następczych. </w:t>
      </w:r>
    </w:p>
    <w:bookmarkEnd w:id="1"/>
    <w:p w14:paraId="117F4FD4" w14:textId="77777777" w:rsidR="00887EAC" w:rsidRPr="00887EAC" w:rsidRDefault="00887EAC" w:rsidP="00887EAC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5C263DEC" w14:textId="77777777" w:rsidR="00887EAC" w:rsidRPr="00887EAC" w:rsidRDefault="00887EAC" w:rsidP="00887EAC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422272A2" w14:textId="77777777" w:rsidR="00887EAC" w:rsidRPr="00887EAC" w:rsidRDefault="00887EAC" w:rsidP="00887EAC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w działaniach w zakresie mobilności przez mający zastosowanie wkład jednostkowy, jak określono w załączniku 3 do umowy. Osoby towarzyszące i liderzy grupy, osoby prowadzące szkolenia, osoby wspomagające proces kształcenia oraz osoby biorące udział w wizytach przygotowawczych nie są uznawane za uczestników działań w zakresie mobilności i nie są brane pod uwagę przy obliczaniu wsparcia organizacyjnego.</w:t>
      </w:r>
    </w:p>
    <w:p w14:paraId="3E9479E8" w14:textId="77777777" w:rsidR="00887EAC" w:rsidRPr="00887EAC" w:rsidRDefault="00887EAC" w:rsidP="00887EAC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74BA7C3D" w14:textId="0514EB64" w:rsidR="00520B63" w:rsidRDefault="00887EAC" w:rsidP="00887EAC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organizacyjne jest </w:t>
      </w:r>
      <w:r w:rsidR="00520B63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520B63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tylko wtedy, gdy uczestnik faktycznie podjął działanie.     </w:t>
      </w:r>
    </w:p>
    <w:p w14:paraId="611596F1" w14:textId="423E7349" w:rsidR="00887EAC" w:rsidRPr="00887EAC" w:rsidRDefault="00520B63" w:rsidP="00520B63">
      <w:pPr>
        <w:tabs>
          <w:tab w:val="left" w:pos="284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ab/>
      </w:r>
      <w:r w:rsidR="00887EAC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c) </w:t>
      </w:r>
      <w:r w:rsidR="00887EAC"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144C7757" w14:textId="0E971B8C" w:rsidR="00887EAC" w:rsidRDefault="00520B63" w:rsidP="00887EAC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Dokumentem potwierdzającym jest oświadczenie podpisane przez uczestnika i organizację przyjmującą, w którym wyszczególniono imię i nazwisko uczestnika, cel działania, a także daty jego rozpoczęcia i zakończenia.</w:t>
      </w:r>
    </w:p>
    <w:p w14:paraId="2E55B4DD" w14:textId="77777777" w:rsidR="00520B63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887EAC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1.4-1.6</w:t>
      </w:r>
    </w:p>
    <w:p w14:paraId="548B0BA3" w14:textId="56087085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Nie dotyczy</w:t>
      </w:r>
      <w:r w:rsidR="00520B63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.</w:t>
      </w:r>
    </w:p>
    <w:p w14:paraId="754A4D8B" w14:textId="77777777" w:rsidR="00887EAC" w:rsidRPr="00887EAC" w:rsidRDefault="00887EAC" w:rsidP="00887EAC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3E8DCBD3" w14:textId="77777777" w:rsidR="00887EAC" w:rsidRPr="00887EAC" w:rsidRDefault="00887EAC" w:rsidP="00887EAC">
      <w:pPr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60D14115" w14:textId="77777777" w:rsidR="00887EAC" w:rsidRPr="00887EAC" w:rsidRDefault="00887EAC" w:rsidP="00887EAC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56BA9DE4" w14:textId="77777777" w:rsidR="00887EAC" w:rsidRPr="00887EAC" w:rsidRDefault="00887EAC" w:rsidP="00887E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o mniejszych szansach działań w zakresie mobilności przez mający zastosowanie wkład jednostkowy, jak określono w załączniku 3 do umowy.</w:t>
      </w:r>
    </w:p>
    <w:p w14:paraId="504816CF" w14:textId="77777777" w:rsidR="00887EAC" w:rsidRPr="00887EAC" w:rsidRDefault="00887EAC" w:rsidP="00887EAC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89FDB03" w14:textId="77777777" w:rsidR="00887EAC" w:rsidRPr="00887EAC" w:rsidRDefault="00887EAC" w:rsidP="00887EAC">
      <w:pPr>
        <w:numPr>
          <w:ilvl w:val="0"/>
          <w:numId w:val="5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27A1FDCC" w14:textId="2F28B818" w:rsidR="00887EAC" w:rsidRPr="00887EAC" w:rsidRDefault="00887EAC" w:rsidP="00887EAC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Wsparcie włączenia dla organizacji wypłaca się tylko wtedy, gdy dany uczestnik faktycznie podjął działanie a organizacja uczestnicząca zorganizowała działania w zakresie mobilności tego uczestnika.</w:t>
      </w:r>
    </w:p>
    <w:p w14:paraId="0C9250C2" w14:textId="77777777" w:rsidR="00887EAC" w:rsidRPr="00887EAC" w:rsidRDefault="00887EAC" w:rsidP="00887EAC">
      <w:pPr>
        <w:numPr>
          <w:ilvl w:val="0"/>
          <w:numId w:val="5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430C731" w14:textId="54D77D9C" w:rsidR="00887EAC" w:rsidRPr="00887EAC" w:rsidRDefault="00520B63" w:rsidP="00887EAC">
      <w:pPr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Dokumentem potwierdzającym jest </w:t>
      </w:r>
      <w:r w:rsidR="00887EAC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oświadczeni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</w:t>
      </w:r>
      <w:r w:rsidR="00887EAC"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podpisane przez organizację przyjmującą, w którym wyszczególniono imię i nazwisko uczestnika oraz cel działania.</w:t>
      </w:r>
    </w:p>
    <w:p w14:paraId="3E567CCA" w14:textId="500F025F" w:rsidR="00887EAC" w:rsidRDefault="00887EAC" w:rsidP="00887EAC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Ponadto: dokumentacja określona przez </w:t>
      </w:r>
      <w:r w:rsidR="00520B6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</w:t>
      </w:r>
      <w:r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gencję </w:t>
      </w:r>
      <w:r w:rsidR="00520B6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</w:t>
      </w:r>
      <w:r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arodową jako dopuszczalny dowód na to, że uczestnik należy do jednej z kategorii osób o mniejszych szansach wymienionych w przewodniku po programie.</w:t>
      </w:r>
    </w:p>
    <w:p w14:paraId="56B980D3" w14:textId="55299E69" w:rsidR="00520B63" w:rsidRPr="00520B63" w:rsidRDefault="00520B63" w:rsidP="00887EAC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520B6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  <w:t>1.8-1.9</w:t>
      </w:r>
    </w:p>
    <w:p w14:paraId="7EA87405" w14:textId="2C4C24EA" w:rsidR="00520B63" w:rsidRPr="00DA2559" w:rsidRDefault="00520B63" w:rsidP="00887EAC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DA2559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Nie dotyczy.</w:t>
      </w:r>
    </w:p>
    <w:p w14:paraId="16FE30FF" w14:textId="77777777" w:rsidR="00887EAC" w:rsidRPr="00887EAC" w:rsidRDefault="00887EAC" w:rsidP="00887EAC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1.10 Wizyty przygotowawcze</w:t>
      </w:r>
    </w:p>
    <w:p w14:paraId="30AA516C" w14:textId="77777777" w:rsidR="00887EAC" w:rsidRPr="00887EAC" w:rsidRDefault="00887EAC" w:rsidP="00887EAC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jednostkowego:</w:t>
      </w:r>
    </w:p>
    <w:p w14:paraId="11026B36" w14:textId="77777777" w:rsidR="00887EAC" w:rsidRPr="00887EAC" w:rsidRDefault="00887EAC" w:rsidP="00887E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24D7BB54" w14:textId="77777777" w:rsidR="00887EAC" w:rsidRPr="00887EAC" w:rsidRDefault="00887EAC" w:rsidP="00887EAC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3A4EA6" w14:textId="77777777" w:rsidR="00887EAC" w:rsidRPr="00887EAC" w:rsidRDefault="00887EAC" w:rsidP="00887EAC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EE7F491" w14:textId="6ADAE10F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Wkład jednostkowy na wizytę przygotowawczą</w:t>
      </w:r>
      <w:r w:rsidR="00520B63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jest kwalifikowalny (uprawniony)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, gdy dany uczestnik faktycznie wziął udział w wizycie przygotowawczej.</w:t>
      </w:r>
    </w:p>
    <w:p w14:paraId="539E5CB5" w14:textId="77777777" w:rsidR="00887EAC" w:rsidRPr="00887EAC" w:rsidRDefault="00887EAC" w:rsidP="00887EAC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7D576A3C" w14:textId="0BF0D33C" w:rsidR="00887EAC" w:rsidRDefault="009663D5" w:rsidP="00887EA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wypełniony program 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spotkania, zawierając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y</w:t>
      </w:r>
      <w:r w:rsidR="00887EAC" w:rsidRPr="00887EAC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imiona i nazwiska osób przyjeżdżających, podpisany przez osoby przyjeżdżające i organizację przyjmującą. </w:t>
      </w:r>
    </w:p>
    <w:p w14:paraId="5DC4BAD2" w14:textId="77777777" w:rsidR="00DA2559" w:rsidRPr="00887EAC" w:rsidRDefault="00DA2559" w:rsidP="00887E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1D9381E0" w14:textId="77777777" w:rsidR="00887EAC" w:rsidRPr="00887EAC" w:rsidRDefault="00887EAC" w:rsidP="00887EAC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3EEA2E70" w14:textId="77777777" w:rsidR="00887EAC" w:rsidRPr="00887EAC" w:rsidRDefault="00887EAC" w:rsidP="00887EAC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39046424" w14:textId="77777777" w:rsidR="00887EAC" w:rsidRPr="00887EAC" w:rsidRDefault="00887EAC" w:rsidP="00887EAC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788290AB" w14:textId="77777777" w:rsidR="00887EAC" w:rsidRPr="00887EAC" w:rsidRDefault="00887EAC" w:rsidP="00887EAC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43F4D6EC" w14:textId="77777777" w:rsidR="00887EAC" w:rsidRPr="00887EAC" w:rsidRDefault="00887EAC" w:rsidP="00887EAC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55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b) </w:t>
      </w: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22E5FDAB" w14:textId="3B83817D" w:rsidR="00887EAC" w:rsidRPr="00887EAC" w:rsidRDefault="00887EAC" w:rsidP="00DA255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6C414C1B" w14:textId="612ECF6D" w:rsidR="00887EAC" w:rsidRPr="00887EAC" w:rsidRDefault="00CB0E83" w:rsidP="00DA2559">
      <w:pPr>
        <w:tabs>
          <w:tab w:val="left" w:pos="709"/>
        </w:tabs>
        <w:suppressAutoHyphens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c) </w:t>
      </w:r>
      <w:r w:rsidR="00887EAC"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="00887EAC"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011907C" w14:textId="067D88AB" w:rsidR="00887EAC" w:rsidRPr="00887EAC" w:rsidRDefault="000A539D" w:rsidP="00887EAC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887EAC"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5CE0B572" w14:textId="77777777" w:rsidR="00887EAC" w:rsidRPr="00887EAC" w:rsidRDefault="00887EAC" w:rsidP="00887EAC">
      <w:pPr>
        <w:numPr>
          <w:ilvl w:val="0"/>
          <w:numId w:val="6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339DAC6F" w14:textId="77777777" w:rsidR="00887EAC" w:rsidRPr="00887EAC" w:rsidRDefault="00887EAC" w:rsidP="00887EAC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42ECE5E2" w14:textId="77777777" w:rsidR="00887EAC" w:rsidRPr="00887EAC" w:rsidRDefault="00887EAC" w:rsidP="00887EAC">
      <w:pPr>
        <w:keepNext/>
        <w:keepLines/>
        <w:numPr>
          <w:ilvl w:val="1"/>
          <w:numId w:val="9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887EAC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153BD47D" w14:textId="77777777" w:rsidR="00887EAC" w:rsidRPr="00887EAC" w:rsidRDefault="00887EAC" w:rsidP="00887EAC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33537A88" w14:textId="77777777" w:rsidR="00887EAC" w:rsidRPr="00887EAC" w:rsidRDefault="00887EAC" w:rsidP="00887EAC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249072F3" w14:textId="77777777" w:rsidR="00887EAC" w:rsidRPr="00887EAC" w:rsidRDefault="00887EAC" w:rsidP="00887EAC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549688F3" w14:textId="663CEF8C" w:rsidR="00887EAC" w:rsidRPr="00887EAC" w:rsidRDefault="00887EAC" w:rsidP="00887EAC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9663D5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9663D5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2E10C6B8" w14:textId="4ABEAA19" w:rsidR="00887EAC" w:rsidRPr="00887EAC" w:rsidRDefault="00887EAC" w:rsidP="00887EAC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E950D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wsparcie </w:t>
      </w: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podróży. </w:t>
      </w:r>
    </w:p>
    <w:p w14:paraId="54A43EA9" w14:textId="77777777" w:rsidR="00887EAC" w:rsidRPr="00887EAC" w:rsidRDefault="00887EAC" w:rsidP="00887EAC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Times New Roman" w:hAnsi="Times New Roman" w:cs="Times New Roman"/>
          <w:kern w:val="0"/>
          <w:sz w:val="24"/>
          <w14:ligatures w14:val="none"/>
        </w:rPr>
        <w:t>Koszty wiz i koszty związane z otrzymaniem wiz, koszty zezwoleń na pobyt, szczepień i zaświadczeń lekarskich.</w:t>
      </w:r>
    </w:p>
    <w:p w14:paraId="3C04AD9D" w14:textId="77777777" w:rsidR="00887EAC" w:rsidRPr="00887EAC" w:rsidRDefault="00887EAC" w:rsidP="00887EAC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A85402C" w14:textId="77777777" w:rsidR="00887EAC" w:rsidRPr="00887EAC" w:rsidRDefault="00887EAC" w:rsidP="00887EA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04FB8D30" w14:textId="77777777" w:rsidR="00887EAC" w:rsidRPr="00887EAC" w:rsidRDefault="00887EAC" w:rsidP="00887EAC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641C91" w14:textId="77777777" w:rsidR="00887EAC" w:rsidRPr="00887EAC" w:rsidRDefault="00887EAC" w:rsidP="00887E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87EA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38A8AE02" w14:textId="77777777" w:rsidR="00887EAC" w:rsidRPr="00887EAC" w:rsidRDefault="00887EAC" w:rsidP="00887EAC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A285992" w14:textId="44FD6096" w:rsidR="00887EAC" w:rsidRPr="00DA2559" w:rsidRDefault="00887EAC" w:rsidP="00887EAC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wysokich kosztów podróży: </w:t>
      </w:r>
      <w:r w:rsidR="000A539D"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 i trasę podróży.</w:t>
      </w:r>
    </w:p>
    <w:p w14:paraId="3900FD85" w14:textId="0749DDAC" w:rsidR="00887EAC" w:rsidRPr="00887EAC" w:rsidRDefault="00887EAC" w:rsidP="00887EAC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0A539D"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DA2559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 oraz datę wystawienia faktury.</w:t>
      </w:r>
    </w:p>
    <w:p w14:paraId="4633A49C" w14:textId="77777777" w:rsidR="00A05DE9" w:rsidRDefault="00A05DE9"/>
    <w:sectPr w:rsidR="00A05DE9" w:rsidSect="00887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ACE12" w14:textId="77777777" w:rsidR="00904262" w:rsidRDefault="00904262">
      <w:pPr>
        <w:spacing w:after="0" w:line="240" w:lineRule="auto"/>
      </w:pPr>
      <w:r>
        <w:separator/>
      </w:r>
    </w:p>
  </w:endnote>
  <w:endnote w:type="continuationSeparator" w:id="0">
    <w:p w14:paraId="400C5FA5" w14:textId="77777777" w:rsidR="00904262" w:rsidRDefault="00904262">
      <w:pPr>
        <w:spacing w:after="0" w:line="240" w:lineRule="auto"/>
      </w:pPr>
      <w:r>
        <w:continuationSeparator/>
      </w:r>
    </w:p>
  </w:endnote>
  <w:endnote w:type="continuationNotice" w:id="1">
    <w:p w14:paraId="57EFEEAA" w14:textId="77777777" w:rsidR="00904262" w:rsidRDefault="00904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FD38" w14:textId="77777777" w:rsidR="00C82BE5" w:rsidRDefault="00C82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482EB" w14:textId="77777777" w:rsidR="00C82BE5" w:rsidRPr="00887EAC" w:rsidRDefault="00C82BE5">
    <w:pPr>
      <w:pStyle w:val="Stopka"/>
      <w:rPr>
        <w:rFonts w:ascii="Calibri Light" w:eastAsia="Times New Roman" w:hAnsi="Calibri Light" w:cs="Times New Roman"/>
        <w:sz w:val="20"/>
        <w:szCs w:val="20"/>
      </w:rPr>
    </w:pPr>
    <w:r w:rsidRPr="00814AB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ADB3F" wp14:editId="4009E2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76C19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814AB5">
      <w:t xml:space="preserve"> </w:t>
    </w:r>
    <w:r w:rsidRPr="00887EAC">
      <w:rPr>
        <w:rFonts w:ascii="Calibri Light" w:eastAsia="Times New Roman" w:hAnsi="Calibri Light" w:cs="Times New Roman"/>
        <w:sz w:val="20"/>
        <w:szCs w:val="20"/>
      </w:rPr>
      <w:t xml:space="preserve">str. </w:t>
    </w:r>
    <w:r w:rsidRPr="00887EAC">
      <w:rPr>
        <w:rFonts w:eastAsia="Times New Roman"/>
        <w:sz w:val="20"/>
        <w:szCs w:val="20"/>
      </w:rPr>
      <w:fldChar w:fldCharType="begin"/>
    </w:r>
    <w:r w:rsidRPr="00814AB5">
      <w:rPr>
        <w:sz w:val="20"/>
        <w:szCs w:val="20"/>
      </w:rPr>
      <w:instrText>PAGE    \* MERGEFORMAT</w:instrText>
    </w:r>
    <w:r w:rsidRPr="00887EAC">
      <w:rPr>
        <w:rFonts w:eastAsia="Times New Roman"/>
        <w:sz w:val="20"/>
        <w:szCs w:val="20"/>
      </w:rPr>
      <w:fldChar w:fldCharType="separate"/>
    </w:r>
    <w:r w:rsidRPr="00887EAC">
      <w:rPr>
        <w:rFonts w:ascii="Calibri Light" w:eastAsia="Times New Roman" w:hAnsi="Calibri Light" w:cs="Times New Roman"/>
        <w:sz w:val="20"/>
        <w:szCs w:val="20"/>
      </w:rPr>
      <w:t>2</w:t>
    </w:r>
    <w:r w:rsidRPr="00887EAC">
      <w:rPr>
        <w:rFonts w:ascii="Calibri Light" w:eastAsia="Times New Roman" w:hAnsi="Calibri Light" w:cs="Times New Roman"/>
        <w:sz w:val="20"/>
        <w:szCs w:val="20"/>
      </w:rPr>
      <w:fldChar w:fldCharType="end"/>
    </w:r>
  </w:p>
  <w:p w14:paraId="49DF66DC" w14:textId="77777777" w:rsidR="00C82BE5" w:rsidRDefault="00C82BE5">
    <w:pPr>
      <w:pStyle w:val="Stopka"/>
      <w:rPr>
        <w:rFonts w:cs="Times New Roman"/>
        <w:color w:val="000000"/>
        <w:sz w:val="20"/>
        <w:szCs w:val="20"/>
      </w:rPr>
    </w:pPr>
    <w:r w:rsidRPr="00814AB5">
      <w:rPr>
        <w:rFonts w:cs="Times New Roman"/>
        <w:color w:val="000000"/>
        <w:sz w:val="20"/>
        <w:szCs w:val="20"/>
      </w:rPr>
      <w:t xml:space="preserve">Młodzież (YOU) – Erasmus+ Mobilność edukacyjna (KA1) </w:t>
    </w:r>
  </w:p>
  <w:p w14:paraId="1A79E41C" w14:textId="77777777" w:rsidR="00C82BE5" w:rsidRDefault="00C82BE5">
    <w:pPr>
      <w:pStyle w:val="Stopka"/>
    </w:pPr>
    <w:r w:rsidRPr="00814AB5">
      <w:rPr>
        <w:rFonts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C3D4C" w14:textId="77777777" w:rsidR="00C82BE5" w:rsidRDefault="00C82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DB781" w14:textId="77777777" w:rsidR="00904262" w:rsidRDefault="00904262">
      <w:pPr>
        <w:spacing w:after="0" w:line="240" w:lineRule="auto"/>
      </w:pPr>
      <w:r>
        <w:separator/>
      </w:r>
    </w:p>
  </w:footnote>
  <w:footnote w:type="continuationSeparator" w:id="0">
    <w:p w14:paraId="216C195C" w14:textId="77777777" w:rsidR="00904262" w:rsidRDefault="00904262">
      <w:pPr>
        <w:spacing w:after="0" w:line="240" w:lineRule="auto"/>
      </w:pPr>
      <w:r>
        <w:continuationSeparator/>
      </w:r>
    </w:p>
  </w:footnote>
  <w:footnote w:type="continuationNotice" w:id="1">
    <w:p w14:paraId="18B2B1E4" w14:textId="77777777" w:rsidR="00904262" w:rsidRDefault="00904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0DC3B" w14:textId="77777777" w:rsidR="00C82BE5" w:rsidRDefault="00C82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C6BB3" w14:textId="77777777" w:rsidR="00C82BE5" w:rsidRDefault="00C82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31A3" w14:textId="77777777" w:rsidR="00C82BE5" w:rsidRDefault="00C82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D6E0DFC0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C51CE"/>
    <w:multiLevelType w:val="hybridMultilevel"/>
    <w:tmpl w:val="255A313C"/>
    <w:lvl w:ilvl="0" w:tplc="C99265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302"/>
    <w:multiLevelType w:val="hybridMultilevel"/>
    <w:tmpl w:val="38F6A1E4"/>
    <w:lvl w:ilvl="0" w:tplc="328235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4772"/>
    <w:multiLevelType w:val="hybridMultilevel"/>
    <w:tmpl w:val="BEA68746"/>
    <w:lvl w:ilvl="0" w:tplc="13FC27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A6F"/>
    <w:multiLevelType w:val="hybridMultilevel"/>
    <w:tmpl w:val="9314DE20"/>
    <w:name w:val="WWNum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9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69131">
    <w:abstractNumId w:val="0"/>
  </w:num>
  <w:num w:numId="2" w16cid:durableId="27072871">
    <w:abstractNumId w:val="4"/>
  </w:num>
  <w:num w:numId="3" w16cid:durableId="1587499974">
    <w:abstractNumId w:val="3"/>
  </w:num>
  <w:num w:numId="4" w16cid:durableId="1277978396">
    <w:abstractNumId w:val="6"/>
  </w:num>
  <w:num w:numId="5" w16cid:durableId="495347084">
    <w:abstractNumId w:val="8"/>
  </w:num>
  <w:num w:numId="6" w16cid:durableId="1468280256">
    <w:abstractNumId w:val="5"/>
  </w:num>
  <w:num w:numId="7" w16cid:durableId="1226263576">
    <w:abstractNumId w:val="2"/>
  </w:num>
  <w:num w:numId="8" w16cid:durableId="945969187">
    <w:abstractNumId w:val="10"/>
  </w:num>
  <w:num w:numId="9" w16cid:durableId="1824468106">
    <w:abstractNumId w:val="9"/>
  </w:num>
  <w:num w:numId="10" w16cid:durableId="1548948846">
    <w:abstractNumId w:val="7"/>
  </w:num>
  <w:num w:numId="11" w16cid:durableId="135064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AC"/>
    <w:rsid w:val="00024FE6"/>
    <w:rsid w:val="00061A13"/>
    <w:rsid w:val="000802C0"/>
    <w:rsid w:val="000A539D"/>
    <w:rsid w:val="000E7969"/>
    <w:rsid w:val="000F03BB"/>
    <w:rsid w:val="00135DF8"/>
    <w:rsid w:val="00164F1D"/>
    <w:rsid w:val="001F3386"/>
    <w:rsid w:val="002005D1"/>
    <w:rsid w:val="00221973"/>
    <w:rsid w:val="00241D28"/>
    <w:rsid w:val="00276D0D"/>
    <w:rsid w:val="002A6305"/>
    <w:rsid w:val="002A7933"/>
    <w:rsid w:val="002E566E"/>
    <w:rsid w:val="003034D8"/>
    <w:rsid w:val="0034291E"/>
    <w:rsid w:val="00384806"/>
    <w:rsid w:val="003A5338"/>
    <w:rsid w:val="00400677"/>
    <w:rsid w:val="00401C44"/>
    <w:rsid w:val="004378D9"/>
    <w:rsid w:val="0044644B"/>
    <w:rsid w:val="004632AC"/>
    <w:rsid w:val="00493CE3"/>
    <w:rsid w:val="004F081A"/>
    <w:rsid w:val="005178EF"/>
    <w:rsid w:val="00520B63"/>
    <w:rsid w:val="00533C4A"/>
    <w:rsid w:val="005C2183"/>
    <w:rsid w:val="005D7216"/>
    <w:rsid w:val="006313D2"/>
    <w:rsid w:val="0069602A"/>
    <w:rsid w:val="006D3725"/>
    <w:rsid w:val="00724397"/>
    <w:rsid w:val="007F277B"/>
    <w:rsid w:val="00801B6A"/>
    <w:rsid w:val="00883CE0"/>
    <w:rsid w:val="00887EAC"/>
    <w:rsid w:val="00893A4D"/>
    <w:rsid w:val="008B6632"/>
    <w:rsid w:val="00904262"/>
    <w:rsid w:val="00954318"/>
    <w:rsid w:val="009645D7"/>
    <w:rsid w:val="009663D5"/>
    <w:rsid w:val="009870A1"/>
    <w:rsid w:val="009C38EF"/>
    <w:rsid w:val="009E0C70"/>
    <w:rsid w:val="009E4359"/>
    <w:rsid w:val="00A05DE9"/>
    <w:rsid w:val="00A8297C"/>
    <w:rsid w:val="00AC01EA"/>
    <w:rsid w:val="00B2355D"/>
    <w:rsid w:val="00B415D5"/>
    <w:rsid w:val="00B83A6D"/>
    <w:rsid w:val="00BB02C9"/>
    <w:rsid w:val="00BC0081"/>
    <w:rsid w:val="00C55880"/>
    <w:rsid w:val="00C56BAD"/>
    <w:rsid w:val="00C77BA5"/>
    <w:rsid w:val="00C82BE5"/>
    <w:rsid w:val="00CB0E83"/>
    <w:rsid w:val="00D16AD1"/>
    <w:rsid w:val="00D842D4"/>
    <w:rsid w:val="00D923FF"/>
    <w:rsid w:val="00DA2559"/>
    <w:rsid w:val="00DA54C8"/>
    <w:rsid w:val="00E06AC6"/>
    <w:rsid w:val="00E63BFC"/>
    <w:rsid w:val="00E950DD"/>
    <w:rsid w:val="00E96ECD"/>
    <w:rsid w:val="00F054D3"/>
    <w:rsid w:val="00F27B71"/>
    <w:rsid w:val="00F84B2E"/>
    <w:rsid w:val="00F964FD"/>
    <w:rsid w:val="00FD592E"/>
    <w:rsid w:val="00FE2F34"/>
    <w:rsid w:val="6FE9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7A3C"/>
  <w15:chartTrackingRefBased/>
  <w15:docId w15:val="{6BE84A9A-F795-40CE-B783-3597C41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7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7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7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7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7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7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7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7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7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7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7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7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7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87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7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87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7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87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7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87EA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88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EAC"/>
  </w:style>
  <w:style w:type="paragraph" w:styleId="Stopka">
    <w:name w:val="footer"/>
    <w:basedOn w:val="Normalny"/>
    <w:link w:val="StopkaZnak"/>
    <w:uiPriority w:val="99"/>
    <w:semiHidden/>
    <w:unhideWhenUsed/>
    <w:rsid w:val="0088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EAC"/>
  </w:style>
  <w:style w:type="paragraph" w:styleId="Poprawka">
    <w:name w:val="Revision"/>
    <w:hidden/>
    <w:uiPriority w:val="99"/>
    <w:semiHidden/>
    <w:rsid w:val="005178EF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B2E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2E5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istance-calculator_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EA20-E1D1-4EF6-9D89-80AAC6E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11133</CharactersWithSpaces>
  <SharedDoc>false</SharedDoc>
  <HLinks>
    <vt:vector size="18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https://ec.europa.eu/programmes/erasmus-plus/resources/distance-calculator_pl</vt:lpwstr>
      </vt:variant>
      <vt:variant>
        <vt:lpwstr/>
      </vt:variant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mailto:jkrzesniak@frse.org.pl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mailto:bdrzewicka@frse.org.pl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3</cp:revision>
  <cp:lastPrinted>2024-05-14T15:16:00Z</cp:lastPrinted>
  <dcterms:created xsi:type="dcterms:W3CDTF">2024-05-22T10:08:00Z</dcterms:created>
  <dcterms:modified xsi:type="dcterms:W3CDTF">2024-05-22T10:28:00Z</dcterms:modified>
</cp:coreProperties>
</file>