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96424" w14:textId="77777777" w:rsidR="00171C95" w:rsidRPr="00171C95" w:rsidRDefault="00171C95" w:rsidP="00171C95">
      <w:pPr>
        <w:keepNext/>
        <w:keepLines/>
        <w:spacing w:before="2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171C95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 xml:space="preserve">ZAŁĄCZNIK 2 – Postanowienia mające zastosowanie do kosztów kwalifikowalnych </w:t>
      </w:r>
    </w:p>
    <w:p w14:paraId="75339131" w14:textId="5A7E8BBE" w:rsidR="00171C95" w:rsidRDefault="00171C95" w:rsidP="000F4FB1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0F4FB1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KA 155</w:t>
      </w:r>
    </w:p>
    <w:p w14:paraId="4ED78919" w14:textId="7734DD03" w:rsidR="000F4FB1" w:rsidRDefault="000F4FB1" w:rsidP="000F4FB1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(YOU)</w:t>
      </w:r>
    </w:p>
    <w:p w14:paraId="4569BA7E" w14:textId="77777777" w:rsidR="000F4FB1" w:rsidRPr="00171C95" w:rsidRDefault="000F4FB1" w:rsidP="000F4FB1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</w:p>
    <w:p w14:paraId="5655F604" w14:textId="77777777" w:rsidR="00171C95" w:rsidRPr="00171C95" w:rsidRDefault="00171C95" w:rsidP="00171C95">
      <w:pPr>
        <w:keepNext/>
        <w:keepLines/>
        <w:numPr>
          <w:ilvl w:val="0"/>
          <w:numId w:val="9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171C95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 xml:space="preserve">Wkłady jednostkowe </w:t>
      </w:r>
    </w:p>
    <w:p w14:paraId="3ACBE2FA" w14:textId="77777777" w:rsidR="00171C95" w:rsidRPr="00171C95" w:rsidRDefault="00171C95" w:rsidP="00171C95">
      <w:pPr>
        <w:spacing w:after="200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Miejsce pochodzenia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: miejsce, w którym znajduje się organizacja wysyłająca</w:t>
      </w:r>
      <w:r w:rsidRPr="00171C95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ACF5D66" w14:textId="41CBC840" w:rsidR="00171C95" w:rsidRPr="00171C95" w:rsidRDefault="00171C95" w:rsidP="00171C9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Zrównoważone środki transportu: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rower, autobus, car-</w:t>
      </w:r>
      <w:proofErr w:type="spellStart"/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pooling</w:t>
      </w:r>
      <w:proofErr w:type="spellEnd"/>
      <w:r w:rsidR="00BE265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BE2653" w:rsidRPr="00BE265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(tj. wspólne przejazdy samochodem co najmniej dwóch pasażerów, gdzie kierowca dzieli koszty na paliwo wspólnie z pasażerem/pasażerami) 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i pociąg. Agencja </w:t>
      </w:r>
      <w:r w:rsidR="00776960">
        <w:rPr>
          <w:rFonts w:ascii="Times New Roman" w:eastAsia="Calibri" w:hAnsi="Times New Roman" w:cs="Times New Roman"/>
          <w:kern w:val="0"/>
          <w:sz w:val="24"/>
          <w14:ligatures w14:val="none"/>
        </w:rPr>
        <w:t>n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arodowa może uznać inne środki transportu za zrównoważone w oparciu o utrwaloną praktykę, indywidualnie dla każdego przypadku. </w:t>
      </w:r>
    </w:p>
    <w:p w14:paraId="403EDDF5" w14:textId="0DEDFCB1" w:rsidR="00171C95" w:rsidRPr="00171C95" w:rsidRDefault="00171C95" w:rsidP="00171C95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Wkład jednostkowy na pokrycie kosztów podróży zrównoważonymi środkami transportu (podróż z wykorzystaniem ekologicznych środków transportu) jest kwalifikowalny, jeżeli większość podróży w obie strony odbyto zrównoważonymi środkami transportu</w:t>
      </w:r>
      <w:r w:rsidR="00776960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 (pod względem przebytej skuteczności)</w:t>
      </w:r>
      <w:r w:rsidRPr="00171C95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.</w:t>
      </w:r>
    </w:p>
    <w:p w14:paraId="46D5D9EB" w14:textId="41CE04B5" w:rsidR="00171C95" w:rsidRPr="00171C95" w:rsidRDefault="00171C95" w:rsidP="00171C9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Wkład jednostkowy w przeliczeniu na przedział odległości</w:t>
      </w:r>
      <w:r w:rsidRPr="00171C95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="00171A2F">
        <w:rPr>
          <w:rFonts w:ascii="Times New Roman" w:eastAsia="Calibri" w:hAnsi="Times New Roman" w:cs="Times New Roman"/>
          <w:kern w:val="0"/>
          <w:sz w:val="24"/>
          <w14:ligatures w14:val="none"/>
        </w:rPr>
        <w:t>koszt podróży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w obie strony między miejscem wyjazdu a miejscem przyjazdu.</w:t>
      </w:r>
    </w:p>
    <w:p w14:paraId="44FE55DA" w14:textId="77777777" w:rsidR="00776960" w:rsidRDefault="00171C95" w:rsidP="76CDCD79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76CDCD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Miejsce działania</w:t>
      </w:r>
      <w:r w:rsidRPr="00171C95">
        <w:rPr>
          <w:rFonts w:ascii="Times New Roman" w:eastAsia="Calibri" w:hAnsi="Times New Roman" w:cs="Times New Roman"/>
          <w:kern w:val="0"/>
          <w14:ligatures w14:val="none"/>
        </w:rPr>
        <w:t xml:space="preserve">:  </w:t>
      </w:r>
      <w:r w:rsidRPr="76CDCD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miejsce, w którym znajduje się organizacja przyjmująca</w:t>
      </w:r>
      <w:r w:rsidRPr="00171C95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76CDCD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515E504" w14:textId="17977C35" w:rsidR="00171C95" w:rsidRPr="00171C95" w:rsidRDefault="00171C95" w:rsidP="00171C95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zgłoszenia innego miejsca </w:t>
      </w:r>
      <w:r w:rsidR="00171A2F">
        <w:rPr>
          <w:rFonts w:ascii="Times New Roman" w:eastAsia="Calibri" w:hAnsi="Times New Roman" w:cs="Times New Roman"/>
          <w:kern w:val="0"/>
          <w:sz w:val="24"/>
          <w14:ligatures w14:val="none"/>
        </w:rPr>
        <w:t>pochodzenia</w:t>
      </w:r>
      <w:r w:rsidR="00776960"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lub miejsca działania beneficjent musi uzasadnić taką zmianę.</w:t>
      </w:r>
    </w:p>
    <w:p w14:paraId="03FF795D" w14:textId="77777777" w:rsidR="00171C95" w:rsidRPr="00171C95" w:rsidRDefault="00171C95" w:rsidP="00171C95">
      <w:pPr>
        <w:spacing w:after="20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Czas podróży nie będzie brany pod uwagę przy ustalaniu zgodności z minimalnym kwalifikowalnym czasem trwania działań w zakresie mobilności określonym w przewodniku po programie. </w:t>
      </w:r>
    </w:p>
    <w:p w14:paraId="7ADF8D05" w14:textId="2F721596" w:rsidR="00171C95" w:rsidRPr="000F4FB1" w:rsidRDefault="00171C95" w:rsidP="00171C95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SimSun" w:hAnsi="Times New Roman Bold" w:cs="Times New Roman" w:hint="eastAsia"/>
          <w:b/>
          <w:kern w:val="0"/>
          <w:sz w:val="24"/>
          <w:szCs w:val="26"/>
          <w:shd w:val="clear" w:color="auto" w:fill="FFFF00"/>
          <w14:ligatures w14:val="none"/>
        </w:rPr>
      </w:pPr>
      <w:r w:rsidRPr="00171C95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 xml:space="preserve">1.1 </w:t>
      </w:r>
      <w:r w:rsidR="002E188E">
        <w:rPr>
          <w:rFonts w:ascii="Times New Roman Bold" w:eastAsia="Times New Roman" w:hAnsi="Times New Roman Bold" w:cs="Times New Roman"/>
          <w:b/>
          <w:kern w:val="0"/>
          <w:sz w:val="24"/>
          <w:szCs w:val="26"/>
          <w14:ligatures w14:val="none"/>
        </w:rPr>
        <w:t xml:space="preserve"> </w:t>
      </w:r>
      <w:r w:rsidR="000F4FB1">
        <w:rPr>
          <w:rFonts w:ascii="Times New Roman Bold" w:eastAsia="Times New Roman" w:hAnsi="Times New Roman Bold" w:cs="Times New Roman"/>
          <w:b/>
          <w:kern w:val="0"/>
          <w:sz w:val="24"/>
          <w:szCs w:val="26"/>
          <w14:ligatures w14:val="none"/>
        </w:rPr>
        <w:t>Koszt</w:t>
      </w:r>
    </w:p>
    <w:p w14:paraId="6D31E768" w14:textId="77777777" w:rsidR="00171C95" w:rsidRPr="00171C95" w:rsidRDefault="00171C95" w:rsidP="00171C95">
      <w:pPr>
        <w:suppressAutoHyphens/>
        <w:spacing w:line="276" w:lineRule="auto"/>
        <w:ind w:left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a) Obliczanie całkowitego wkładu jednostkowego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2E8784E2" w14:textId="243D017B" w:rsidR="00171C95" w:rsidRPr="00171C95" w:rsidRDefault="00171C95" w:rsidP="00171C95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na pokrycie </w:t>
      </w:r>
      <w:r w:rsidR="00776960">
        <w:rPr>
          <w:rFonts w:ascii="Times New Roman" w:eastAsia="Calibri" w:hAnsi="Times New Roman" w:cs="Times New Roman"/>
          <w:kern w:val="0"/>
          <w:sz w:val="24"/>
          <w14:ligatures w14:val="none"/>
        </w:rPr>
        <w:t>wsparcia</w:t>
      </w:r>
      <w:r w:rsidR="00776960"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podróży oblicza się, mnożąc liczbę uczestników i osób towarzyszących, osób wspomagających proces kształcenia oraz liderów grupy  w danym przedziale odległości przez wkład jednostkowy mający zastosowanie do danego przedziału odległości i rodzaju podróży (z wykorzystaniem </w:t>
      </w:r>
      <w:r w:rsidR="0077696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lub bez wykorzystania 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ekologicznych środków transportu), jak określono w załączniku 3 do umowy. </w:t>
      </w:r>
    </w:p>
    <w:p w14:paraId="20018E92" w14:textId="536E9A35" w:rsidR="00171C95" w:rsidRPr="00171C95" w:rsidRDefault="00171C95" w:rsidP="00171C9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W przypadku działań objazdowych całkowity wkład jednostkowy oblicza się, mnożąc liczbę uczestników w danym przedziale odległości odpowiadającym sumie 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odległości między poszczególnymi miejscami przez wkład jednostkowy mający zastosowanie do danego przedziału 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 xml:space="preserve">odległości i rodzaju podróży (z wykorzystaniem </w:t>
      </w:r>
      <w:r w:rsidR="00530B0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lub bez wykorzystania 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ekologicznych środków transportu), jak określono w załączniku 3 do umowy.</w:t>
      </w:r>
    </w:p>
    <w:p w14:paraId="76C740EA" w14:textId="77777777" w:rsidR="00171C95" w:rsidRPr="00171C95" w:rsidRDefault="00171C95" w:rsidP="00171C9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Aby ustalić odpowiedni przedział odległości, beneficjent wskazuje odległość pokonywaną podczas podróży w jedną stronę, obliczoną za pomocą internetowego kalkulatora odległości dostępnego na stronie internetowej Komisji pod adresem: </w:t>
      </w:r>
      <w:hyperlink r:id="rId8" w:history="1">
        <w:r w:rsidRPr="00171C95">
          <w:rPr>
            <w:rFonts w:ascii="Times New Roman" w:eastAsia="Calibri" w:hAnsi="Times New Roman" w:cs="Times New Roman"/>
            <w:color w:val="0000FF"/>
            <w:kern w:val="0"/>
            <w:sz w:val="24"/>
            <w:u w:val="single"/>
            <w14:ligatures w14:val="none"/>
          </w:rPr>
          <w:t>http://ec.europa.eu/programmes/erasmus-plus/resources/distance-calculator_pl</w:t>
        </w:r>
      </w:hyperlink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. </w:t>
      </w:r>
    </w:p>
    <w:p w14:paraId="551254F5" w14:textId="77777777" w:rsidR="00171C95" w:rsidRPr="00171C95" w:rsidRDefault="00171C95" w:rsidP="00171C9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Beneficjent oblicza całkowity wkład jednostkowy na pokrycie kosztów podróży za pośrednictwem narzędzia sprawozdawczości i zarządzania programem Erasmus+ na podstawie mających zastosowanie stawek wkładu jednostkowego. </w:t>
      </w:r>
    </w:p>
    <w:p w14:paraId="3B520FE6" w14:textId="77777777" w:rsidR="00171C95" w:rsidRPr="00171C95" w:rsidRDefault="00171C95" w:rsidP="00171C95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Abonament umożliwia podróżowanie przez 7 dni w ciągu jednego miesiąca środkiem transportu o ogólnie najniższej emisji gazów cieplarnianych. Obejmuje on również nową kartę zniżkową </w:t>
      </w:r>
      <w:proofErr w:type="spellStart"/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DiscoverEU</w:t>
      </w:r>
      <w:proofErr w:type="spellEnd"/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. Przysługuje jeden bilet na uczestnika i, w stosownych przypadkach, na osobę towarzyszącą, korzystającą z tego samego środka transportu co uczestnik.</w:t>
      </w:r>
    </w:p>
    <w:p w14:paraId="5638BCAD" w14:textId="551ECAE1" w:rsidR="00171C95" w:rsidRPr="00171C95" w:rsidRDefault="00171C95" w:rsidP="0017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71C95">
        <w:rPr>
          <w:rFonts w:ascii="Times New Roman" w:eastAsia="Times New Roman" w:hAnsi="Times New Roman" w:cs="Courier New"/>
          <w:kern w:val="0"/>
          <w:sz w:val="24"/>
          <w:szCs w:val="20"/>
          <w:lang w:eastAsia="en-GB"/>
          <w14:ligatures w14:val="none"/>
        </w:rPr>
        <w:t>W przypadkach, w których państwo pochodzenia nie jest bezpośrednio połączone z systemem kolejowym w Europie kontynentalnej i konieczna jest dodatkowa podróż innymi środkami transportu, aby dotrzeć do państwa, w którym rozpoczyna się mobilność (</w:t>
      </w:r>
      <w:proofErr w:type="spellStart"/>
      <w:r w:rsidR="00A43A49">
        <w:rPr>
          <w:rFonts w:ascii="Times New Roman" w:eastAsia="Times New Roman" w:hAnsi="Times New Roman" w:cs="Courier New"/>
          <w:kern w:val="0"/>
          <w:sz w:val="24"/>
          <w:szCs w:val="20"/>
          <w:lang w:eastAsia="en-GB"/>
          <w14:ligatures w14:val="none"/>
        </w:rPr>
        <w:t>pociagiem</w:t>
      </w:r>
      <w:proofErr w:type="spellEnd"/>
      <w:r w:rsidRPr="00171C95">
        <w:rPr>
          <w:rFonts w:ascii="Times New Roman" w:eastAsia="Times New Roman" w:hAnsi="Times New Roman" w:cs="Courier New"/>
          <w:kern w:val="0"/>
          <w:sz w:val="24"/>
          <w:szCs w:val="20"/>
          <w:lang w:eastAsia="en-GB"/>
          <w14:ligatures w14:val="none"/>
        </w:rPr>
        <w:t>), wkład jednostkowy może obejmować jedynie tę podróż do Europy kontynentalnej.</w:t>
      </w:r>
    </w:p>
    <w:p w14:paraId="59AB15AF" w14:textId="77777777" w:rsidR="00171C95" w:rsidRPr="00171C95" w:rsidRDefault="00171C95" w:rsidP="0017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6BB670" w14:textId="77777777" w:rsidR="00171C95" w:rsidRPr="00171C95" w:rsidRDefault="00171C95" w:rsidP="00171C95">
      <w:pPr>
        <w:numPr>
          <w:ilvl w:val="0"/>
          <w:numId w:val="2"/>
        </w:num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</w:t>
      </w:r>
    </w:p>
    <w:p w14:paraId="2642B4B1" w14:textId="5D235260" w:rsidR="00171C95" w:rsidRPr="00171C95" w:rsidRDefault="00776960" w:rsidP="00171C9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Wsparcie</w:t>
      </w:r>
      <w:r w:rsidR="00171C95"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podróży jest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</w:t>
      </w:r>
      <w:r w:rsidR="00CB339E">
        <w:rPr>
          <w:rFonts w:ascii="Times New Roman" w:eastAsia="Calibri" w:hAnsi="Times New Roman" w:cs="Times New Roman"/>
          <w:kern w:val="0"/>
          <w:sz w:val="24"/>
          <w14:ligatures w14:val="none"/>
        </w:rPr>
        <w:t>i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one)</w:t>
      </w:r>
      <w:r w:rsidR="00171C95"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tylko wtedy, gdy uczestnik faktycznie podjął działanie.</w:t>
      </w:r>
    </w:p>
    <w:p w14:paraId="681AA125" w14:textId="77777777" w:rsidR="00171C95" w:rsidRPr="00171C95" w:rsidRDefault="00171C95" w:rsidP="00171C95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0A50725" w14:textId="77777777" w:rsidR="00171C95" w:rsidRPr="00171C95" w:rsidRDefault="00171C95" w:rsidP="00171C95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71C95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  <w:t>Dokumenty potwierdzające</w:t>
      </w:r>
    </w:p>
    <w:p w14:paraId="360FF633" w14:textId="77777777" w:rsidR="00171C95" w:rsidRPr="00171C95" w:rsidRDefault="00171C95" w:rsidP="00171C95">
      <w:pPr>
        <w:suppressAutoHyphens/>
        <w:spacing w:after="0" w:line="100" w:lineRule="atLeast"/>
        <w:ind w:left="720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1D64E19D" w14:textId="0E69E0E0" w:rsidR="00171C95" w:rsidRPr="00171C95" w:rsidRDefault="00776960" w:rsidP="00171C9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</w:t>
      </w:r>
      <w:r w:rsidR="00CB339E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d</w:t>
      </w:r>
      <w:r w:rsidR="00171C95" w:rsidRPr="00171C9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owód uczestnictwa w działaniu w formie oświadczenia podpisanego przez uczestnika i osobę towarzyszącą</w:t>
      </w:r>
      <w:r w:rsidR="005A588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(jeśli dotyczy)</w:t>
      </w:r>
      <w:r w:rsidR="00171C95" w:rsidRPr="00171C9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, w którym wyszczególniono imię i nazwisko uczestnika/osoby towarzyszącej, cel działania, a także daty jego rozpoczęcia i zakończenia. </w:t>
      </w:r>
      <w:r w:rsidR="00CB339E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Ewentualnie </w:t>
      </w:r>
      <w:r w:rsidR="00171C95" w:rsidRPr="00171C9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dowód uczestnictwa w działaniu w formie </w:t>
      </w:r>
      <w:proofErr w:type="spellStart"/>
      <w:r w:rsidR="00CB339E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śwaidectwa</w:t>
      </w:r>
      <w:proofErr w:type="spellEnd"/>
      <w:r w:rsidR="00CB339E" w:rsidRPr="00171C9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</w:t>
      </w:r>
      <w:proofErr w:type="spellStart"/>
      <w:r w:rsidR="00171C95" w:rsidRPr="00171C9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Youthpass</w:t>
      </w:r>
      <w:proofErr w:type="spellEnd"/>
      <w:r w:rsidR="00171C95" w:rsidRPr="00171C9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, w którym wyszczególniono imię i nazwisko uczestnika, efekty uczenia się, cel działania, a także daty jego rozpoczęcia i zakończenia.</w:t>
      </w:r>
    </w:p>
    <w:p w14:paraId="42300AC5" w14:textId="7313E232" w:rsidR="00171C95" w:rsidRPr="00171C95" w:rsidRDefault="00171C95" w:rsidP="00171C95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Ponadto, oprócz dokumentów potwierdzających, w przypadku korzystania ze zrównoważonych środków transportu (podróż z wykorzystaniem ekologicznych środków transportu): dokumentem potwierdzającym będzie oświadczenie podpisane przez osobę otrzymującą dotację na pokrycie kosztów podróży.</w:t>
      </w:r>
    </w:p>
    <w:p w14:paraId="4819ED06" w14:textId="77777777" w:rsidR="00171C95" w:rsidRPr="00171C95" w:rsidRDefault="00171C95" w:rsidP="00171C9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:lang w:eastAsia="ar-SA"/>
          <w14:ligatures w14:val="none"/>
        </w:rPr>
      </w:pPr>
    </w:p>
    <w:p w14:paraId="25A6E7A2" w14:textId="5CD980B0" w:rsidR="00171C95" w:rsidRPr="00171C95" w:rsidRDefault="00171C95" w:rsidP="00171C95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Jeżeli miejsce rozpoczęcia podróży jest inne niż miejsce </w:t>
      </w:r>
      <w:r w:rsidR="00CC0B6A"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>pochodzenia</w:t>
      </w:r>
      <w:r w:rsidR="00CB339E"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>lub miejsce zakończenia podróży jest inne niż miejsce działania, beneficjent musi zgłosić przyczynę tej różnicy. W przypadku gdy podróż nie odbyła się lub podróż została sfinansowana ze źródeł UE innych niż program Erasmus+, beneficjent wskazuje w swoim sprawozdaniu, że wsparcie finansowe kosztów podróży nie jest wymagane.</w:t>
      </w:r>
    </w:p>
    <w:p w14:paraId="0F10ED46" w14:textId="77777777" w:rsidR="00171C95" w:rsidRPr="00171C95" w:rsidRDefault="00171C95" w:rsidP="00171C95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Calibri" w:hAnsi="Times New Roman Bold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1.2 Wsparcie indywidualne</w:t>
      </w:r>
    </w:p>
    <w:p w14:paraId="176B4B7B" w14:textId="77777777" w:rsidR="00171C95" w:rsidRPr="00171C95" w:rsidRDefault="00171C95" w:rsidP="00171C95">
      <w:pPr>
        <w:numPr>
          <w:ilvl w:val="0"/>
          <w:numId w:val="3"/>
        </w:num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  <w:r w:rsidRPr="00171C95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</w:p>
    <w:p w14:paraId="0A3B783E" w14:textId="1F2AC8C4" w:rsidR="00171C95" w:rsidRPr="00171C95" w:rsidRDefault="00171C95" w:rsidP="00171C95">
      <w:pPr>
        <w:tabs>
          <w:tab w:val="left" w:pos="0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liczbę dni w przeliczeniu na uczestnika i osobę towarzyszącą z uwzględnieniem decydentów, liderów grupy, osób prowadzących szkolenia i osób wspomagających proces kształcenia przez wkład jednostkowy mający zastosowanie w przeliczeniu na dzień w danym kraju przyjmującym, jak określono w załączniku 3 do umowy. Można dodać dni podróży, jeżeli są one </w:t>
      </w:r>
      <w:r w:rsidR="00CB339E">
        <w:rPr>
          <w:rFonts w:ascii="Times New Roman" w:eastAsia="Calibri" w:hAnsi="Times New Roman" w:cs="Times New Roman"/>
          <w:kern w:val="0"/>
          <w:sz w:val="24"/>
          <w14:ligatures w14:val="none"/>
        </w:rPr>
        <w:t>istotne</w:t>
      </w:r>
      <w:r w:rsidR="00CB339E"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dla danego działania.</w:t>
      </w:r>
    </w:p>
    <w:p w14:paraId="26808BBC" w14:textId="0AE84019" w:rsidR="00171C95" w:rsidRPr="00171C95" w:rsidRDefault="00171C95" w:rsidP="00171C95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liczbę dni w przeliczeniu na uczestnika i osobę towarzyszącą (maksymalnie 21 dni) przez wkład jednostkowy</w:t>
      </w:r>
      <w:r w:rsidR="00CB339E">
        <w:rPr>
          <w:rFonts w:ascii="Times New Roman" w:eastAsia="Calibri" w:hAnsi="Times New Roman" w:cs="Times New Roman"/>
          <w:kern w:val="0"/>
          <w:sz w:val="24"/>
          <w14:ligatures w14:val="none"/>
        </w:rPr>
        <w:t>,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mający zastosowanie na uczestnika na dzień.</w:t>
      </w:r>
    </w:p>
    <w:p w14:paraId="2C7D8164" w14:textId="77777777" w:rsidR="00171C95" w:rsidRPr="00171C95" w:rsidRDefault="00171C95" w:rsidP="00171C95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Jeżeli uczestnik lub uczestnicy podróżują dłużej niż 21 dni, ale w ciągu 30 dni ważności biletu, dodatkowe dni nie są objęte dofinansowaniem.</w:t>
      </w:r>
    </w:p>
    <w:p w14:paraId="65D9A7DA" w14:textId="77777777" w:rsidR="00171C95" w:rsidRPr="00171C95" w:rsidRDefault="00171C95" w:rsidP="00171C95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przerwania pobytu okres przerwy nie będzie brany pod uwagę przy obliczaniu dotacji na wsparcie indywidualne. W przypadku przerwy spowodowanej siłą wyższą uczestnik musi mieć możliwość wznowienia i kontynuowania działań po ich przerwaniu (na warunkach określonych w niniejszej umowie).</w:t>
      </w:r>
    </w:p>
    <w:p w14:paraId="6A093DD2" w14:textId="77777777" w:rsidR="00171C95" w:rsidRPr="00171C95" w:rsidRDefault="00171C95" w:rsidP="00171C95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rozwiązania przez uczestnika umowy ze względu na działanie siły wyższej uczestnik musi mieć prawo do otrzymania kwoty dotacji w wysokości odpowiadającej rzeczywistemu czasowi trwania okresu mobilności. Wszelkie pozostałe środki muszą zostać zwrócone beneficjentowi, chyba że strony uzgodniły inaczej.</w:t>
      </w:r>
    </w:p>
    <w:p w14:paraId="7F958324" w14:textId="4EB8B4F7" w:rsidR="00171C95" w:rsidRPr="00171C95" w:rsidRDefault="000F4FB1" w:rsidP="000F4FB1">
      <w:pPr>
        <w:numPr>
          <w:ilvl w:val="0"/>
          <w:numId w:val="3"/>
        </w:numPr>
        <w:tabs>
          <w:tab w:val="left" w:pos="709"/>
        </w:tabs>
        <w:suppressAutoHyphens/>
        <w:spacing w:after="240" w:line="100" w:lineRule="atLeast"/>
        <w:ind w:hanging="21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F4FB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</w:t>
      </w:r>
      <w:r w:rsidR="00171C95"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="00171C95" w:rsidRPr="00171C95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25D504D3" w14:textId="4764BF19" w:rsidR="00171C95" w:rsidRPr="00171C95" w:rsidRDefault="00171C95" w:rsidP="00171C95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indywidualne jest </w:t>
      </w:r>
      <w:r w:rsidR="00CB339E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tylko wtedy, gdy uczestnik faktycznie podjął działanie w określonym czasie.</w:t>
      </w:r>
    </w:p>
    <w:p w14:paraId="7826D928" w14:textId="77777777" w:rsidR="00171C95" w:rsidRPr="00171C95" w:rsidRDefault="00171C95" w:rsidP="000F4FB1">
      <w:pPr>
        <w:numPr>
          <w:ilvl w:val="0"/>
          <w:numId w:val="3"/>
        </w:numPr>
        <w:suppressAutoHyphens/>
        <w:spacing w:after="240" w:line="100" w:lineRule="atLeast"/>
        <w:ind w:left="709" w:hanging="425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71C95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>Dokumenty potwierdzające:</w:t>
      </w:r>
    </w:p>
    <w:p w14:paraId="6FE55B68" w14:textId="59C9FD0A" w:rsidR="00CC0B6A" w:rsidRPr="00171C95" w:rsidRDefault="00CB339E" w:rsidP="000F4FB1">
      <w:pPr>
        <w:suppressAutoHyphens/>
        <w:spacing w:after="200" w:line="276" w:lineRule="auto"/>
        <w:ind w:left="142"/>
        <w:jc w:val="both"/>
        <w:rPr>
          <w:rFonts w:ascii="Times New Roman" w:eastAsia="Calibri" w:hAnsi="Times New Roman" w:cs="Times New Roman"/>
          <w:i/>
          <w:color w:val="4AA55B"/>
          <w:kern w:val="0"/>
          <w:sz w:val="24"/>
          <w:shd w:val="clear" w:color="auto" w:fill="CCFFFF"/>
          <w14:ligatures w14:val="none"/>
        </w:rPr>
      </w:pPr>
      <w:r w:rsidRPr="00CB339E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 xml:space="preserve">Dokumentem potwierdzającym jest oświadczenie podpisane przez uczestnika i organizację wysyłającą, w którym wyszczególniono imię i nazwisko uczestnika, cel działania, a także daty jego rozpoczęcia i zakończenia. Ewentualnie dowód uczestnictwa w działaniu w formie świadectwa </w:t>
      </w:r>
      <w:proofErr w:type="spellStart"/>
      <w:r w:rsidRPr="00CB339E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Youthpass</w:t>
      </w:r>
      <w:proofErr w:type="spellEnd"/>
      <w:r w:rsidRPr="00CB339E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, w którym wyszczególniono imię i nazwisko uczestnika, cel działania, a także daty jego rozpoczęcia i zakończenia.</w:t>
      </w:r>
      <w:r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 xml:space="preserve"> </w:t>
      </w:r>
    </w:p>
    <w:p w14:paraId="2E088A04" w14:textId="7A467613" w:rsidR="00171C95" w:rsidRPr="000F4FB1" w:rsidRDefault="00171C95" w:rsidP="000F4FB1">
      <w:pPr>
        <w:pStyle w:val="Akapitzlist"/>
        <w:numPr>
          <w:ilvl w:val="0"/>
          <w:numId w:val="3"/>
        </w:numPr>
        <w:suppressAutoHyphens/>
        <w:spacing w:after="240" w:line="100" w:lineRule="atLeast"/>
        <w:ind w:left="709" w:hanging="425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0F4FB1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 xml:space="preserve">Sprawozdawczość: </w:t>
      </w:r>
    </w:p>
    <w:p w14:paraId="18A375C0" w14:textId="77777777" w:rsidR="00171C95" w:rsidRPr="00171C95" w:rsidRDefault="00171C95" w:rsidP="00171C95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1F497D"/>
          <w:kern w:val="0"/>
          <w:sz w:val="24"/>
          <w:szCs w:val="24"/>
          <w14:ligatures w14:val="none"/>
        </w:rPr>
      </w:pPr>
      <w:bookmarkStart w:id="0" w:name="_Hlk116664147"/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Uczestnicy muszą skorzystać ze standardowego kwestionariusza internetowego udostępnionego przez Komisję Europejską (sprawozdanie uczestnika), aby przedstawić informacje faktyczne i ocenę działania w zakresie mobilności, jego przygotowania i działań następczych. </w:t>
      </w:r>
    </w:p>
    <w:bookmarkEnd w:id="0"/>
    <w:p w14:paraId="51E9065D" w14:textId="77777777" w:rsidR="00171C95" w:rsidRPr="00171C95" w:rsidRDefault="00171C95" w:rsidP="00171C95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171C95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1.3 Wsparcie organizacyjne</w:t>
      </w:r>
    </w:p>
    <w:p w14:paraId="73A5FFCA" w14:textId="77777777" w:rsidR="00171C95" w:rsidRPr="00171C95" w:rsidRDefault="00171C95" w:rsidP="00171C95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</w:p>
    <w:p w14:paraId="4252D8B3" w14:textId="32423E97" w:rsidR="00171C95" w:rsidRPr="00171C95" w:rsidRDefault="00171C95" w:rsidP="00171C95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łączną liczbę uczestników w działaniach w zakresie mobilności przez mający zastosowanie wkład jednostkowy, jak określono w załączniku 3 do umowy. Osoby towarzyszące i liderzy grupy, osoby prowadzące szkolenia, osoby wspomagające proces kształcenia oraz osoby biorące udział w wizytach przygotowawczych nie są uznawane za uczestników działań w zakresie mobilności i nie są brane pod uwagę przy obliczaniu wsparcia organizacyjnego.</w:t>
      </w:r>
    </w:p>
    <w:p w14:paraId="7F502FA7" w14:textId="77777777" w:rsidR="00171C95" w:rsidRPr="00171C95" w:rsidRDefault="00171C95" w:rsidP="00171C95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171C95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424117B3" w14:textId="4C6EEA03" w:rsidR="00171C95" w:rsidRPr="00171C95" w:rsidRDefault="00171C95" w:rsidP="00171C95">
      <w:pPr>
        <w:tabs>
          <w:tab w:val="left" w:pos="567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organizacyjne jest </w:t>
      </w:r>
      <w:r w:rsidR="00795AC3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="00795AC3"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tylko wtedy, gdy uczestnik faktycznie podjął działanie. </w:t>
      </w:r>
    </w:p>
    <w:p w14:paraId="5636F595" w14:textId="77777777" w:rsidR="00171C95" w:rsidRPr="00171C95" w:rsidRDefault="00171C95" w:rsidP="00171C95">
      <w:pPr>
        <w:numPr>
          <w:ilvl w:val="0"/>
          <w:numId w:val="4"/>
        </w:numPr>
        <w:suppressAutoHyphens/>
        <w:spacing w:after="200" w:line="100" w:lineRule="atLeast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Dokumenty potwierdzające: </w:t>
      </w:r>
    </w:p>
    <w:p w14:paraId="157840E1" w14:textId="66133BE3" w:rsidR="00171C95" w:rsidRPr="00171C95" w:rsidRDefault="00795AC3" w:rsidP="00171C95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5AC3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 xml:space="preserve">Dokumentem potwierdzającym jest oświadczenie podpisane przez uczestnika i organizację wysyłającą, w którym wyszczególniono imię i nazwisko uczestnika, cel działania, a także daty jego rozpoczęcia i zakończenia. Ewentualnie dowód uczestnictwa w działaniu w formie świadectwa </w:t>
      </w:r>
      <w:proofErr w:type="spellStart"/>
      <w:r w:rsidRPr="00795AC3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Youthpass</w:t>
      </w:r>
      <w:proofErr w:type="spellEnd"/>
      <w:r w:rsidRPr="00795AC3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, w którym wyszczególniono imię i nazwisko uczestnika, cel działania, a także daty jego rozpoczęcia i zakończenia</w:t>
      </w:r>
      <w:r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.</w:t>
      </w:r>
    </w:p>
    <w:p w14:paraId="415DB2DB" w14:textId="77777777" w:rsidR="00171C95" w:rsidRPr="00171C95" w:rsidDel="00CD2603" w:rsidRDefault="00171C95" w:rsidP="00171C95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Sprawozdawczość: </w:t>
      </w:r>
    </w:p>
    <w:p w14:paraId="72F21F3F" w14:textId="2B7B3479" w:rsidR="00297F3F" w:rsidRPr="00171C95" w:rsidRDefault="00795AC3" w:rsidP="00171C95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95AC3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 xml:space="preserve"> </w:t>
      </w:r>
      <w:r w:rsidRPr="00795AC3">
        <w:rPr>
          <w:rFonts w:ascii="Times New Roman" w:eastAsia="Calibri" w:hAnsi="Times New Roman" w:cs="Arial"/>
          <w:kern w:val="0"/>
          <w:sz w:val="24"/>
          <w14:ligatures w14:val="none"/>
        </w:rPr>
        <w:t xml:space="preserve">Uczestnicy działań powinni złożyć sprawozdanie z podróży w ramach </w:t>
      </w:r>
      <w:proofErr w:type="spellStart"/>
      <w:r w:rsidRPr="00795AC3">
        <w:rPr>
          <w:rFonts w:ascii="Times New Roman" w:eastAsia="Calibri" w:hAnsi="Times New Roman" w:cs="Arial"/>
          <w:kern w:val="0"/>
          <w:sz w:val="24"/>
          <w14:ligatures w14:val="none"/>
        </w:rPr>
        <w:t>DiscoverEU</w:t>
      </w:r>
      <w:proofErr w:type="spellEnd"/>
      <w:r w:rsidRPr="00795AC3">
        <w:rPr>
          <w:rFonts w:ascii="Times New Roman" w:eastAsia="Calibri" w:hAnsi="Times New Roman" w:cs="Arial"/>
          <w:kern w:val="0"/>
          <w:sz w:val="24"/>
          <w14:ligatures w14:val="none"/>
        </w:rPr>
        <w:t xml:space="preserve"> z wykorzystaniem internetowego kwestionariusza, w którym przedstawią informacje zwrotne na temat faktycznych i jakościowych elementów okresu działania, a także przygotowania do niego i działań podejmowanych po jego zakończeniu.</w:t>
      </w:r>
    </w:p>
    <w:p w14:paraId="4EFCAC92" w14:textId="77777777" w:rsidR="00795AC3" w:rsidRDefault="00171C95" w:rsidP="00171C95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171C95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 xml:space="preserve">1.4-1.6 </w:t>
      </w:r>
    </w:p>
    <w:p w14:paraId="10DEC6E9" w14:textId="370CD48D" w:rsidR="00171C95" w:rsidRPr="000F4FB1" w:rsidRDefault="00171C95" w:rsidP="00171C95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>Nie dotyczy</w:t>
      </w:r>
      <w:r w:rsidR="00795AC3"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>.</w:t>
      </w:r>
    </w:p>
    <w:p w14:paraId="4D81805B" w14:textId="77777777" w:rsidR="00171C95" w:rsidRPr="00171C95" w:rsidRDefault="00171C95" w:rsidP="00171C95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1.7 Wsparcie włączenia dla organizacji</w:t>
      </w:r>
    </w:p>
    <w:p w14:paraId="7C26073C" w14:textId="77777777" w:rsidR="00171C95" w:rsidRPr="00171C95" w:rsidRDefault="00171C95" w:rsidP="00171C95">
      <w:pPr>
        <w:numPr>
          <w:ilvl w:val="0"/>
          <w:numId w:val="5"/>
        </w:numPr>
        <w:suppressAutoHyphens/>
        <w:spacing w:after="0" w:line="276" w:lineRule="auto"/>
        <w:ind w:left="851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Obliczanie całkowitego wkładu jednostkowego: </w:t>
      </w:r>
    </w:p>
    <w:p w14:paraId="59F08361" w14:textId="77777777" w:rsidR="00171C95" w:rsidRPr="00171C95" w:rsidRDefault="00171C95" w:rsidP="00171C95">
      <w:pPr>
        <w:suppressAutoHyphens/>
        <w:spacing w:after="0" w:line="276" w:lineRule="auto"/>
        <w:rPr>
          <w:rFonts w:ascii="Calibri" w:eastAsia="SimSun" w:hAnsi="Calibri" w:cs="Times New Roman"/>
          <w:kern w:val="0"/>
          <w:szCs w:val="24"/>
          <w:lang w:eastAsia="ar-SA"/>
          <w14:ligatures w14:val="none"/>
        </w:rPr>
      </w:pPr>
    </w:p>
    <w:p w14:paraId="7AED005E" w14:textId="3098C340" w:rsidR="00171C95" w:rsidRPr="00171C95" w:rsidRDefault="00171C95" w:rsidP="00171C9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łączną liczbę uczestników o mniejszych szansach działań w zakresie mobilności przez mający zastosowanie wkład jednostkowy, jak określono w załączniku 3 do umowy. Liderów grupy, osób towarzyszących i osób wspomagających proces kształcenia nie uznaje się za uczestników</w:t>
      </w:r>
      <w:r w:rsidR="00795AC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o mniejszych szansach w działaniach w zakresie mobilności i nie bierze się ich pod uwagę przy obliczaniu kwoty dotacji na wsparcie włączenia dla organizacji.</w:t>
      </w:r>
    </w:p>
    <w:p w14:paraId="71341812" w14:textId="77777777" w:rsidR="00171C95" w:rsidRPr="00171C95" w:rsidRDefault="00171C95" w:rsidP="00171C95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68C698A" w14:textId="77777777" w:rsidR="00171C95" w:rsidRPr="00171C95" w:rsidRDefault="00171C95" w:rsidP="00171C95">
      <w:pPr>
        <w:numPr>
          <w:ilvl w:val="0"/>
          <w:numId w:val="5"/>
        </w:numPr>
        <w:suppressAutoHyphens/>
        <w:spacing w:after="200" w:line="276" w:lineRule="auto"/>
        <w:ind w:left="709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Zdarzenie inicjujące: </w:t>
      </w:r>
    </w:p>
    <w:p w14:paraId="03B9CED8" w14:textId="6F87380D" w:rsidR="00171C95" w:rsidRPr="00171C95" w:rsidRDefault="00171C95" w:rsidP="00171C95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Wsparcie włączenia dla organizacji wypłaca się tylko wtedy, gdy dany uczestnik faktycznie podjął działanie w określonym czasie</w:t>
      </w:r>
      <w:r w:rsidRPr="00171C95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a organizacja uczestnicząca zorganizowała działania w zakresie mobilności tego uczestnika.</w:t>
      </w:r>
    </w:p>
    <w:p w14:paraId="0A40E3C1" w14:textId="77777777" w:rsidR="00171C95" w:rsidRPr="00171C95" w:rsidRDefault="00171C95" w:rsidP="00171C95">
      <w:pPr>
        <w:numPr>
          <w:ilvl w:val="0"/>
          <w:numId w:val="5"/>
        </w:numPr>
        <w:suppressAutoHyphens/>
        <w:spacing w:after="120" w:line="276" w:lineRule="auto"/>
        <w:ind w:left="709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29A57B3C" w14:textId="714D90A8" w:rsidR="000075AF" w:rsidRDefault="000075AF" w:rsidP="000075AF">
      <w:pPr>
        <w:suppressAutoHyphens/>
        <w:spacing w:after="120" w:line="276" w:lineRule="auto"/>
        <w:jc w:val="both"/>
        <w:rPr>
          <w:rFonts w:ascii="Times New Roman" w:eastAsia="Calibri" w:hAnsi="Times New Roman" w:cs="Arial"/>
          <w:kern w:val="0"/>
          <w:sz w:val="24"/>
          <w14:ligatures w14:val="none"/>
        </w:rPr>
      </w:pPr>
      <w:r w:rsidRPr="000F4FB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jest: </w:t>
      </w:r>
      <w:r w:rsidRPr="000F4FB1">
        <w:rPr>
          <w:rFonts w:ascii="Times New Roman" w:eastAsia="Calibri" w:hAnsi="Times New Roman" w:cs="Arial"/>
          <w:kern w:val="0"/>
          <w:sz w:val="24"/>
          <w14:ligatures w14:val="none"/>
        </w:rPr>
        <w:t xml:space="preserve">oświadczenie podpisane przez organizację wysyłającą, w którym wyszczególniono imię i nazwisko uczestnika oraz cel działania. </w:t>
      </w:r>
      <w:r w:rsidRPr="000F4FB1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 xml:space="preserve">Ewentualnie dowód uczestnictwa w działaniu w formie świadectwa </w:t>
      </w:r>
      <w:proofErr w:type="spellStart"/>
      <w:r w:rsidRPr="000F4FB1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Youthpass</w:t>
      </w:r>
      <w:proofErr w:type="spellEnd"/>
      <w:r w:rsidRPr="000F4FB1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, w którym wyszczególniono imię i nazwisko uczestnika, cel działania, a także daty jego rozpoczęcia i zakończenia.</w:t>
      </w:r>
    </w:p>
    <w:p w14:paraId="3257EC96" w14:textId="5F8AC315" w:rsidR="00AA30E1" w:rsidRPr="00520B63" w:rsidRDefault="00AA30E1" w:rsidP="00AA30E1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520B6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14:ligatures w14:val="none"/>
        </w:rPr>
        <w:t>1.8-1.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14:ligatures w14:val="none"/>
        </w:rPr>
        <w:t>10</w:t>
      </w:r>
    </w:p>
    <w:p w14:paraId="721C0D68" w14:textId="77777777" w:rsidR="00AA30E1" w:rsidRPr="000F4FB1" w:rsidRDefault="00AA30E1" w:rsidP="00AA30E1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0F4FB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Nie dotyczy.</w:t>
      </w:r>
    </w:p>
    <w:p w14:paraId="68DC58DC" w14:textId="77777777" w:rsidR="00F4600C" w:rsidRPr="00171C95" w:rsidRDefault="00F4600C" w:rsidP="00171C95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00FFFF"/>
          <w14:ligatures w14:val="none"/>
        </w:rPr>
      </w:pPr>
    </w:p>
    <w:p w14:paraId="0A6B480D" w14:textId="77777777" w:rsidR="00171C95" w:rsidRPr="00171C95" w:rsidRDefault="00171C95" w:rsidP="00171C95">
      <w:pPr>
        <w:keepNext/>
        <w:keepLines/>
        <w:numPr>
          <w:ilvl w:val="0"/>
          <w:numId w:val="9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171C95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>Koszty rzeczywiste</w:t>
      </w:r>
    </w:p>
    <w:p w14:paraId="50B7CC8D" w14:textId="77777777" w:rsidR="00171C95" w:rsidRPr="00171C95" w:rsidRDefault="00171C95" w:rsidP="00171C95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171C95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2.1 Wsparcie włączenia dla uczestników</w:t>
      </w:r>
    </w:p>
    <w:p w14:paraId="362F0F0C" w14:textId="77777777" w:rsidR="00171C95" w:rsidRPr="00171C95" w:rsidRDefault="00171C95" w:rsidP="00171C9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46610052" w14:textId="77777777" w:rsidR="00171C95" w:rsidRPr="00171C95" w:rsidRDefault="00171C95" w:rsidP="00171C95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Dotacja stanowi zwrot 100 % faktycznie poniesionych kosztów kwalifikowalnych.</w:t>
      </w:r>
    </w:p>
    <w:p w14:paraId="12563623" w14:textId="77777777" w:rsidR="00171C95" w:rsidRPr="00171C95" w:rsidRDefault="00171C95" w:rsidP="00171C95">
      <w:p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F4FB1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b)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171C95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Koszty kwalifikowalne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1067A938" w14:textId="7EA523AB" w:rsidR="00171C95" w:rsidRPr="00171C95" w:rsidRDefault="00171C95" w:rsidP="00171C95">
      <w:pPr>
        <w:tabs>
          <w:tab w:val="left" w:pos="0"/>
        </w:tabs>
        <w:suppressAutoHyphens/>
        <w:spacing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koszty bezpośrednio związane z uczestnikami o mniejszych szansach i osobami im towarzyszącymi</w:t>
      </w:r>
      <w:r w:rsidR="00772CD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z uwzględnieniem liderów grup i osób wspomagających proces kształcenia</w:t>
      </w: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>. Jeżeli uczestnik występuje o zwrot kosztów podróży i wsparcia indywidualnego w ramach tej kategorii budżetu, nie można wnioskować o wkład jednostkowy w odniesieniu do tych kategorii dla tego samego uczestnika.</w:t>
      </w:r>
    </w:p>
    <w:p w14:paraId="73D38E46" w14:textId="18BA76AC" w:rsidR="00171C95" w:rsidRPr="003345F9" w:rsidRDefault="00171C95" w:rsidP="003345F9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345F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Pr="003345F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160617D5" w14:textId="28F40CA4" w:rsidR="00171C95" w:rsidRPr="00171C95" w:rsidRDefault="00CC0B6A" w:rsidP="00171C95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="00171C95"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14:paraId="02CCF85C" w14:textId="77777777" w:rsidR="00171C95" w:rsidRPr="00171C95" w:rsidRDefault="00171C95" w:rsidP="003345F9">
      <w:pPr>
        <w:numPr>
          <w:ilvl w:val="0"/>
          <w:numId w:val="10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Sprawozdawczość:</w:t>
      </w:r>
      <w:r w:rsidRPr="00171C95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0C609AD2" w14:textId="77777777" w:rsidR="00171C95" w:rsidRPr="00171C95" w:rsidRDefault="00171C95" w:rsidP="00171C95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odniesieniu do każdej pozycji kosztów w tej kategorii budżetowej beneficjent musi podać rodzaj kosztów i rzeczywistą kwotę poniesionych kosztów. </w:t>
      </w:r>
    </w:p>
    <w:p w14:paraId="71202302" w14:textId="77777777" w:rsidR="00171C95" w:rsidRPr="00171C95" w:rsidRDefault="00171C95" w:rsidP="00171C95">
      <w:pPr>
        <w:keepNext/>
        <w:keepLines/>
        <w:numPr>
          <w:ilvl w:val="1"/>
          <w:numId w:val="9"/>
        </w:numPr>
        <w:spacing w:before="240" w:after="200" w:line="240" w:lineRule="auto"/>
        <w:ind w:left="426" w:hanging="284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171C95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Koszty nadzwyczajne</w:t>
      </w:r>
    </w:p>
    <w:p w14:paraId="78EC07D0" w14:textId="77777777" w:rsidR="00171C95" w:rsidRPr="00171C95" w:rsidRDefault="00171C95" w:rsidP="00171C95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11F4B079" w14:textId="77777777" w:rsidR="00171C95" w:rsidRPr="00171C95" w:rsidRDefault="00171C95" w:rsidP="00171C95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Dotacja stanowi zwrot 80% faktycznie poniesionych kosztów kwalifikowalnych wymienionych poniżej (z wyjątkiem kosztów wizy, zezwoleń na pobyt i szczepienia oraz kosztów zaświadczeń lekarskich, które podlegają zwrotowi w wysokości 100%). </w:t>
      </w:r>
    </w:p>
    <w:p w14:paraId="7322D9CF" w14:textId="77777777" w:rsidR="00171C95" w:rsidRPr="00171C95" w:rsidRDefault="00171C95" w:rsidP="003345F9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Koszty kwalifikowalne: </w:t>
      </w:r>
    </w:p>
    <w:p w14:paraId="1B0AE1D2" w14:textId="4C1B1989" w:rsidR="00171C95" w:rsidRPr="00171C95" w:rsidRDefault="00171C95" w:rsidP="00171C95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Koszty związane z gwarancją dotyczącą płatności zaliczkowych wniesioną przez beneficjenta, w przypadku gdy takiej gwarancji wymaga </w:t>
      </w:r>
      <w:r w:rsidR="002C0E08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171C95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gencja </w:t>
      </w:r>
      <w:r w:rsidR="002C0E08">
        <w:rPr>
          <w:rFonts w:ascii="Times New Roman" w:eastAsia="Times New Roman" w:hAnsi="Times New Roman" w:cs="Times New Roman"/>
          <w:kern w:val="0"/>
          <w:sz w:val="24"/>
          <w14:ligatures w14:val="none"/>
        </w:rPr>
        <w:t>n</w:t>
      </w:r>
      <w:r w:rsidRPr="00171C95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arodowa, jak określono w arkuszu danych (zob. pkt 4).  </w:t>
      </w:r>
    </w:p>
    <w:p w14:paraId="7988BCFE" w14:textId="3A26F5E9" w:rsidR="00E43ED4" w:rsidRPr="003345F9" w:rsidRDefault="00E43ED4" w:rsidP="00171C95">
      <w:pPr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Wysokie koszty podróży: koszty podróży w najkorzystniejszy ekonomicznie a zarazem efektywny sposób, jeżeli wkład jednostkowy nie pokrywa co najmniej 70% kosztów podróży. </w:t>
      </w:r>
      <w:r w:rsidRPr="00E43ED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Koszty nadzwyczajne związane z wysokimi kosztami podróży zastępują wsparcie podróży.  </w:t>
      </w:r>
    </w:p>
    <w:p w14:paraId="0B860671" w14:textId="46AF8CDD" w:rsidR="00171C95" w:rsidRPr="00171C95" w:rsidRDefault="00171C95" w:rsidP="00171C95">
      <w:pPr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Koszty wiz i koszty związane z otrzymaniem wiz, koszty zezwoleń na pobyt, szczepień i zaświadczeń lekarskich. </w:t>
      </w:r>
    </w:p>
    <w:p w14:paraId="2FB1C5AA" w14:textId="77777777" w:rsidR="00171C95" w:rsidRPr="000F4FB1" w:rsidRDefault="00171C95" w:rsidP="00171C95">
      <w:pPr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Koszty rezerwacji w przypadku, gdy nie można podróżować bez obowiązkowej rezerwacji miejsca, w kraju, w którym ta zasada obowiązuje. Koszty te mogą zostać pokryte jako koszty dodatkowe do kosztów biletu. </w:t>
      </w:r>
    </w:p>
    <w:p w14:paraId="241E5E85" w14:textId="326178DF" w:rsidR="002C0E08" w:rsidRPr="00171C95" w:rsidRDefault="002C0E08" w:rsidP="00171C95">
      <w:pPr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0E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Wysokie koszty podróży uczestników, w tym liderów grupy, osób towarzyszących i osób wspomagających proces kształcenia, spowodowane odległością geograficzną lub innymi przeszkodami (obejmujące m.in. korzystanie z czyst</w:t>
      </w:r>
      <w:r w:rsidR="006A34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</w:t>
      </w:r>
      <w:r w:rsidR="00F4098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zych</w:t>
      </w:r>
      <w:r w:rsidRPr="002C0E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niskoemisyjnych środków transportu). </w:t>
      </w:r>
      <w:r w:rsidR="00D219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</w:t>
      </w:r>
      <w:r w:rsidRPr="002C0E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oszty podróży w najkorzystniejszy ekonomicznie a zarazem efektywny sposób, jeżeli wkład jednostkowy nie pokrywa co najmniej 70 % kosztów podróży. Beneficjent musi złożyć do agencji narodowej uzasadniony wniosek o finansowanie dotyczący wysokich kosztów podróży jako kosztów nadzwyczajnych, zaś agencja narodowa musi go zatwierdzić. Ewentualne zatwierdzone koszty nadzwyczajne związane z wysokimi kosztami podróży zastępują wsparcie podróży bez wykorzystania ekologicznych środków transportu</w:t>
      </w:r>
    </w:p>
    <w:p w14:paraId="513BF7B9" w14:textId="77777777" w:rsidR="00171C95" w:rsidRPr="00171C95" w:rsidRDefault="00171C95" w:rsidP="000F4FB1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049B58D7" w14:textId="77777777" w:rsidR="00171C95" w:rsidRPr="00171C95" w:rsidRDefault="00171C95" w:rsidP="00171C95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6ABE168" w14:textId="77777777" w:rsidR="00171C95" w:rsidRPr="00171C95" w:rsidRDefault="00171C95" w:rsidP="00171C9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Dowód poniesienia kosztów związanych z zabezpieczeniem finansowym wydany przez organ udzielający zabezpieczenia beneficjentowi, w którym to dowodzie wyszczególniono nazwę i adres organu wydającego zabezpieczenie finansowe, kwotę i walutę kosztów związanych z zabezpieczeniem oraz który opatrzono datą i podpisem pełnomocnika organu wydającego zabezpieczenie. </w:t>
      </w:r>
    </w:p>
    <w:p w14:paraId="1AF3408E" w14:textId="77777777" w:rsidR="00171C95" w:rsidRPr="00171C95" w:rsidRDefault="00171C95" w:rsidP="00171C95">
      <w:pPr>
        <w:suppressAutoHyphens/>
        <w:spacing w:after="0" w:line="276" w:lineRule="auto"/>
        <w:ind w:left="113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1003F09" w14:textId="5D734B5A" w:rsidR="00171C95" w:rsidRPr="000F4FB1" w:rsidRDefault="00171C95" w:rsidP="00171C95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171C9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wysokich kosztów podróży: </w:t>
      </w:r>
      <w:r w:rsidR="002C0E08" w:rsidRPr="002C0E08">
        <w:rPr>
          <w:rFonts w:ascii="Times New Roman" w:eastAsia="Calibri" w:hAnsi="Times New Roman" w:cs="Arial"/>
          <w:kern w:val="0"/>
          <w:sz w:val="24"/>
          <w14:ligatures w14:val="none"/>
        </w:rPr>
        <w:t xml:space="preserve">dokumentacja uzasadniająca potrzebę przyznania tej dotacji uczestnikowi podpisana przez organizację  wysyłającą, w której to dokumentacji wyszczególniono imię i nazwisko uczestnika, cel działania, a także daty jego rozpoczęcia i zakończenia; dokumentacja planowanych rzeczywistych kosztów i dowód ich zatwierdzenia </w:t>
      </w:r>
      <w:r w:rsidR="002C0E08" w:rsidRPr="000F4FB1">
        <w:rPr>
          <w:rFonts w:ascii="Times New Roman" w:eastAsia="Calibri" w:hAnsi="Times New Roman" w:cs="Arial"/>
          <w:kern w:val="0"/>
          <w:sz w:val="24"/>
          <w14:ligatures w14:val="none"/>
        </w:rPr>
        <w:t xml:space="preserve">przez agencję narodową oraz </w:t>
      </w:r>
      <w:r w:rsidR="004B3EF4" w:rsidRPr="000F4FB1">
        <w:rPr>
          <w:rFonts w:ascii="Times New Roman" w:eastAsia="Calibri" w:hAnsi="Times New Roman" w:cs="Arial"/>
          <w:kern w:val="0"/>
          <w:sz w:val="24"/>
          <w14:ligatures w14:val="none"/>
        </w:rPr>
        <w:t>dowód zapłaty powiązanych kosztów na podstawie faktur</w:t>
      </w:r>
      <w:r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walutę, datę wystawienia faktury i trasę podróży.</w:t>
      </w:r>
    </w:p>
    <w:p w14:paraId="017EFFA2" w14:textId="527A967D" w:rsidR="00171C95" w:rsidRPr="000F4FB1" w:rsidRDefault="00171C95" w:rsidP="00171C9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kosztów podróży związanych z wizami, zezwoleniami na pobyt i szczepieniami oraz zaświadczeniami lekarskimi: </w:t>
      </w:r>
      <w:r w:rsidR="00CC0B6A"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Pr="000F4FB1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 oraz datę wystawienia faktury.</w:t>
      </w:r>
    </w:p>
    <w:p w14:paraId="0021A8A6" w14:textId="77777777" w:rsidR="00171C95" w:rsidRPr="000F4FB1" w:rsidRDefault="00171C95" w:rsidP="00171C9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64F8929" w14:textId="2453BFA2" w:rsidR="00171C95" w:rsidRPr="00171C95" w:rsidRDefault="002C0E08" w:rsidP="00171C95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F4FB1">
        <w:rPr>
          <w:rFonts w:ascii="Times New Roman" w:eastAsia="Calibri" w:hAnsi="Times New Roman" w:cs="Arial"/>
          <w:kern w:val="0"/>
          <w:sz w:val="24"/>
          <w14:ligatures w14:val="none"/>
        </w:rPr>
        <w:t xml:space="preserve">W przypadku kosztów rezerwacji: </w:t>
      </w:r>
      <w:r w:rsidR="00CC0B6A" w:rsidRPr="000F4FB1">
        <w:rPr>
          <w:rFonts w:ascii="Times New Roman" w:eastAsia="Calibri" w:hAnsi="Times New Roman" w:cs="Arial"/>
          <w:kern w:val="0"/>
          <w:sz w:val="24"/>
          <w14:ligatures w14:val="none"/>
        </w:rPr>
        <w:t>dowód zapłaty powiązanych kosztów na podstawie faktur</w:t>
      </w:r>
      <w:r w:rsidRPr="000F4FB1">
        <w:rPr>
          <w:rFonts w:ascii="Times New Roman" w:eastAsia="Calibri" w:hAnsi="Times New Roman" w:cs="Arial"/>
          <w:kern w:val="0"/>
          <w:sz w:val="24"/>
          <w14:ligatures w14:val="none"/>
        </w:rPr>
        <w:t>, w których to fakturach wyszczególniono nazwę i adres organu wystawiającego fakturę, kwotę i walutę oraz datę wystawienia faktury.</w:t>
      </w:r>
    </w:p>
    <w:p w14:paraId="2A500FF6" w14:textId="77777777" w:rsidR="00A05DE9" w:rsidRDefault="00A05DE9"/>
    <w:sectPr w:rsidR="00A05DE9" w:rsidSect="0017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FEBC3" w14:textId="77777777" w:rsidR="00082E16" w:rsidRDefault="00082E16">
      <w:pPr>
        <w:spacing w:after="0" w:line="240" w:lineRule="auto"/>
      </w:pPr>
      <w:r>
        <w:separator/>
      </w:r>
    </w:p>
  </w:endnote>
  <w:endnote w:type="continuationSeparator" w:id="0">
    <w:p w14:paraId="37190E02" w14:textId="77777777" w:rsidR="00082E16" w:rsidRDefault="00082E16">
      <w:pPr>
        <w:spacing w:after="0" w:line="240" w:lineRule="auto"/>
      </w:pPr>
      <w:r>
        <w:continuationSeparator/>
      </w:r>
    </w:p>
  </w:endnote>
  <w:endnote w:type="continuationNotice" w:id="1">
    <w:p w14:paraId="1292E643" w14:textId="77777777" w:rsidR="00082E16" w:rsidRDefault="00082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25E35" w14:textId="77777777" w:rsidR="00776960" w:rsidRDefault="00776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6A36A" w14:textId="77777777" w:rsidR="00776960" w:rsidRPr="00171C95" w:rsidRDefault="00776960">
    <w:pPr>
      <w:pStyle w:val="Stopka"/>
      <w:rPr>
        <w:rFonts w:ascii="Calibri Light" w:eastAsia="Times New Roman" w:hAnsi="Calibri Light" w:cs="Times New Roman"/>
        <w:sz w:val="20"/>
        <w:szCs w:val="20"/>
      </w:rPr>
    </w:pPr>
    <w:r w:rsidRPr="00171C95">
      <w:rPr>
        <w:noProof/>
        <w:color w:val="5B9BD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95562" wp14:editId="5D7D77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Prostokąt 7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511E5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>
              <w10:wrap anchorx="page" anchory="page"/>
            </v:rect>
          </w:pict>
        </mc:Fallback>
      </mc:AlternateContent>
    </w:r>
    <w:r w:rsidRPr="00171C95">
      <w:rPr>
        <w:color w:val="5B9BD5"/>
      </w:rPr>
      <w:t xml:space="preserve"> </w:t>
    </w:r>
    <w:r w:rsidRPr="00171C95">
      <w:rPr>
        <w:rFonts w:ascii="Calibri Light" w:eastAsia="Times New Roman" w:hAnsi="Calibri Light" w:cs="Times New Roman"/>
        <w:sz w:val="20"/>
        <w:szCs w:val="20"/>
      </w:rPr>
      <w:t xml:space="preserve">str. </w:t>
    </w:r>
    <w:r w:rsidRPr="00171C95">
      <w:rPr>
        <w:rFonts w:eastAsia="Times New Roman"/>
        <w:sz w:val="20"/>
        <w:szCs w:val="20"/>
      </w:rPr>
      <w:fldChar w:fldCharType="begin"/>
    </w:r>
    <w:r w:rsidRPr="00632E5F">
      <w:rPr>
        <w:sz w:val="20"/>
        <w:szCs w:val="20"/>
      </w:rPr>
      <w:instrText>PAGE    \* MERGEFORMAT</w:instrText>
    </w:r>
    <w:r w:rsidRPr="00171C95">
      <w:rPr>
        <w:rFonts w:eastAsia="Times New Roman"/>
        <w:sz w:val="20"/>
        <w:szCs w:val="20"/>
      </w:rPr>
      <w:fldChar w:fldCharType="separate"/>
    </w:r>
    <w:r w:rsidRPr="00171C95">
      <w:rPr>
        <w:rFonts w:ascii="Calibri Light" w:eastAsia="Times New Roman" w:hAnsi="Calibri Light" w:cs="Times New Roman"/>
        <w:sz w:val="20"/>
        <w:szCs w:val="20"/>
      </w:rPr>
      <w:t>2</w:t>
    </w:r>
    <w:r w:rsidRPr="00171C95">
      <w:rPr>
        <w:rFonts w:ascii="Calibri Light" w:eastAsia="Times New Roman" w:hAnsi="Calibri Light" w:cs="Times New Roman"/>
        <w:sz w:val="20"/>
        <w:szCs w:val="20"/>
      </w:rPr>
      <w:fldChar w:fldCharType="end"/>
    </w:r>
  </w:p>
  <w:p w14:paraId="47C818E3" w14:textId="77777777" w:rsidR="00776960" w:rsidRDefault="00776960">
    <w:pPr>
      <w:pStyle w:val="Stopka"/>
      <w:rPr>
        <w:rFonts w:cs="Times New Roman"/>
        <w:color w:val="000000"/>
        <w:sz w:val="20"/>
        <w:szCs w:val="20"/>
      </w:rPr>
    </w:pPr>
    <w:r w:rsidRPr="00632E5F">
      <w:rPr>
        <w:rFonts w:cs="Times New Roman"/>
        <w:color w:val="000000"/>
        <w:sz w:val="20"/>
        <w:szCs w:val="20"/>
      </w:rPr>
      <w:t xml:space="preserve">Młodzież (YOU) – Erasmus+ Mobilność edukacyjna (KA1) </w:t>
    </w:r>
  </w:p>
  <w:p w14:paraId="626F8E36" w14:textId="77777777" w:rsidR="00776960" w:rsidRDefault="00776960">
    <w:pPr>
      <w:pStyle w:val="Stopka"/>
    </w:pPr>
    <w:r w:rsidRPr="00632E5F">
      <w:rPr>
        <w:rFonts w:cs="Times New Roman"/>
        <w:color w:val="000000"/>
        <w:sz w:val="20"/>
        <w:szCs w:val="20"/>
      </w:rPr>
      <w:t>http://erasmusplus.org.pl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F6A65" w14:textId="77777777" w:rsidR="00776960" w:rsidRDefault="00776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2A9AE" w14:textId="77777777" w:rsidR="00082E16" w:rsidRDefault="00082E16">
      <w:pPr>
        <w:spacing w:after="0" w:line="240" w:lineRule="auto"/>
      </w:pPr>
      <w:r>
        <w:separator/>
      </w:r>
    </w:p>
  </w:footnote>
  <w:footnote w:type="continuationSeparator" w:id="0">
    <w:p w14:paraId="38159FFC" w14:textId="77777777" w:rsidR="00082E16" w:rsidRDefault="00082E16">
      <w:pPr>
        <w:spacing w:after="0" w:line="240" w:lineRule="auto"/>
      </w:pPr>
      <w:r>
        <w:continuationSeparator/>
      </w:r>
    </w:p>
  </w:footnote>
  <w:footnote w:type="continuationNotice" w:id="1">
    <w:p w14:paraId="1DD96248" w14:textId="77777777" w:rsidR="00082E16" w:rsidRDefault="00082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DB278" w14:textId="77777777" w:rsidR="00776960" w:rsidRDefault="00776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08FCF" w14:textId="77777777" w:rsidR="00776960" w:rsidRDefault="007769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679ED" w14:textId="77777777" w:rsidR="00776960" w:rsidRDefault="007769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5"/>
    <w:multiLevelType w:val="multilevel"/>
    <w:tmpl w:val="FD821B58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A847302"/>
    <w:multiLevelType w:val="hybridMultilevel"/>
    <w:tmpl w:val="149E3D72"/>
    <w:lvl w:ilvl="0" w:tplc="8D2099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81546"/>
    <w:multiLevelType w:val="multilevel"/>
    <w:tmpl w:val="73BA0656"/>
    <w:name w:val="WWNum36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F7267"/>
    <w:multiLevelType w:val="multilevel"/>
    <w:tmpl w:val="7706C79A"/>
    <w:name w:val="WWNum362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B2B36"/>
    <w:multiLevelType w:val="hybridMultilevel"/>
    <w:tmpl w:val="F8162B08"/>
    <w:lvl w:ilvl="0" w:tplc="235CC66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9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051339">
    <w:abstractNumId w:val="0"/>
  </w:num>
  <w:num w:numId="2" w16cid:durableId="88433238">
    <w:abstractNumId w:val="3"/>
  </w:num>
  <w:num w:numId="3" w16cid:durableId="1771386717">
    <w:abstractNumId w:val="2"/>
  </w:num>
  <w:num w:numId="4" w16cid:durableId="1400513897">
    <w:abstractNumId w:val="6"/>
  </w:num>
  <w:num w:numId="5" w16cid:durableId="1726372116">
    <w:abstractNumId w:val="8"/>
  </w:num>
  <w:num w:numId="6" w16cid:durableId="2077626281">
    <w:abstractNumId w:val="5"/>
  </w:num>
  <w:num w:numId="7" w16cid:durableId="1991057155">
    <w:abstractNumId w:val="1"/>
  </w:num>
  <w:num w:numId="8" w16cid:durableId="329254507">
    <w:abstractNumId w:val="10"/>
  </w:num>
  <w:num w:numId="9" w16cid:durableId="232861958">
    <w:abstractNumId w:val="9"/>
  </w:num>
  <w:num w:numId="10" w16cid:durableId="738477979">
    <w:abstractNumId w:val="4"/>
  </w:num>
  <w:num w:numId="11" w16cid:durableId="1264000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95"/>
    <w:rsid w:val="000075AF"/>
    <w:rsid w:val="00082E16"/>
    <w:rsid w:val="000923E5"/>
    <w:rsid w:val="000F4FB1"/>
    <w:rsid w:val="00171A2F"/>
    <w:rsid w:val="00171C95"/>
    <w:rsid w:val="00276D0D"/>
    <w:rsid w:val="002959DB"/>
    <w:rsid w:val="00297F3F"/>
    <w:rsid w:val="002C0E08"/>
    <w:rsid w:val="002E188E"/>
    <w:rsid w:val="003345F9"/>
    <w:rsid w:val="00356C7C"/>
    <w:rsid w:val="003C6E06"/>
    <w:rsid w:val="004227D7"/>
    <w:rsid w:val="00465B26"/>
    <w:rsid w:val="004B22DE"/>
    <w:rsid w:val="004B3EF4"/>
    <w:rsid w:val="004B53D3"/>
    <w:rsid w:val="004F13A0"/>
    <w:rsid w:val="00500B7F"/>
    <w:rsid w:val="00530B01"/>
    <w:rsid w:val="005A3272"/>
    <w:rsid w:val="005A5881"/>
    <w:rsid w:val="005F35E2"/>
    <w:rsid w:val="006A3492"/>
    <w:rsid w:val="006E1469"/>
    <w:rsid w:val="00772CD4"/>
    <w:rsid w:val="00776960"/>
    <w:rsid w:val="00795AC3"/>
    <w:rsid w:val="007A722F"/>
    <w:rsid w:val="007C68E5"/>
    <w:rsid w:val="0082270A"/>
    <w:rsid w:val="00896FA5"/>
    <w:rsid w:val="008B6632"/>
    <w:rsid w:val="00907E22"/>
    <w:rsid w:val="009B5667"/>
    <w:rsid w:val="009D6A55"/>
    <w:rsid w:val="00A00A7F"/>
    <w:rsid w:val="00A01286"/>
    <w:rsid w:val="00A05DE9"/>
    <w:rsid w:val="00A43A49"/>
    <w:rsid w:val="00AA30E1"/>
    <w:rsid w:val="00AC01EA"/>
    <w:rsid w:val="00AD6632"/>
    <w:rsid w:val="00B013BC"/>
    <w:rsid w:val="00BE2653"/>
    <w:rsid w:val="00C05A07"/>
    <w:rsid w:val="00C55880"/>
    <w:rsid w:val="00CA4EBD"/>
    <w:rsid w:val="00CB339E"/>
    <w:rsid w:val="00CB3D54"/>
    <w:rsid w:val="00CC0B6A"/>
    <w:rsid w:val="00CE6D40"/>
    <w:rsid w:val="00D01927"/>
    <w:rsid w:val="00D219B3"/>
    <w:rsid w:val="00E06AC6"/>
    <w:rsid w:val="00E12FE7"/>
    <w:rsid w:val="00E309A6"/>
    <w:rsid w:val="00E43ED4"/>
    <w:rsid w:val="00EF1088"/>
    <w:rsid w:val="00EF3EE9"/>
    <w:rsid w:val="00F2067A"/>
    <w:rsid w:val="00F4098E"/>
    <w:rsid w:val="00F4600C"/>
    <w:rsid w:val="00FD592E"/>
    <w:rsid w:val="76CDC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75A6"/>
  <w15:chartTrackingRefBased/>
  <w15:docId w15:val="{DD66921D-5602-4911-A415-1CE2295E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1C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C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1C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1C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1C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1C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1C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1C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1C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C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C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1C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1C9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1C9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1C9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1C9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1C9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1C9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71C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1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C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71C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1C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1C9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71C9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71C9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1C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1C9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1C9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17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C95"/>
  </w:style>
  <w:style w:type="paragraph" w:styleId="Stopka">
    <w:name w:val="footer"/>
    <w:basedOn w:val="Normalny"/>
    <w:link w:val="StopkaZnak"/>
    <w:uiPriority w:val="99"/>
    <w:semiHidden/>
    <w:unhideWhenUsed/>
    <w:rsid w:val="0017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C95"/>
  </w:style>
  <w:style w:type="paragraph" w:styleId="Poprawka">
    <w:name w:val="Revision"/>
    <w:hidden/>
    <w:uiPriority w:val="99"/>
    <w:semiHidden/>
    <w:rsid w:val="00776960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5E2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5F35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distance-calculator_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8958-6AE6-420C-97FD-C6A9A6D5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14167</CharactersWithSpaces>
  <SharedDoc>false</SharedDoc>
  <HLinks>
    <vt:vector size="18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https://ec.europa.eu/programmes/erasmus-plus/resources/distance-calculator_pl</vt:lpwstr>
      </vt:variant>
      <vt:variant>
        <vt:lpwstr/>
      </vt:variant>
      <vt:variant>
        <vt:i4>3801158</vt:i4>
      </vt:variant>
      <vt:variant>
        <vt:i4>3</vt:i4>
      </vt:variant>
      <vt:variant>
        <vt:i4>0</vt:i4>
      </vt:variant>
      <vt:variant>
        <vt:i4>5</vt:i4>
      </vt:variant>
      <vt:variant>
        <vt:lpwstr>mailto:bdrzewicka@frse.org.pl</vt:lpwstr>
      </vt:variant>
      <vt:variant>
        <vt:lpwstr/>
      </vt:variant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mailto:bdrzewicka@frse.org.pl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Drzewicka</dc:creator>
  <cp:keywords/>
  <dc:description/>
  <cp:lastModifiedBy>Barbara Drzewicka</cp:lastModifiedBy>
  <cp:revision>2</cp:revision>
  <dcterms:created xsi:type="dcterms:W3CDTF">2024-05-22T10:49:00Z</dcterms:created>
  <dcterms:modified xsi:type="dcterms:W3CDTF">2024-05-22T10:49:00Z</dcterms:modified>
</cp:coreProperties>
</file>