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FFC12" w14:textId="77777777" w:rsidR="004773EB" w:rsidRPr="004773EB" w:rsidRDefault="004773EB" w:rsidP="004773EB">
      <w:pPr>
        <w:keepNext/>
        <w:keepLines/>
        <w:spacing w:before="200" w:after="60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4773EB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 xml:space="preserve">ZAŁĄCZNIK 2 – Postanowienia mające zastosowanie do kosztów kwalifikowalnych </w:t>
      </w:r>
    </w:p>
    <w:p w14:paraId="020623EC" w14:textId="1C51A9D3" w:rsidR="004773EB" w:rsidRDefault="00595076" w:rsidP="00595076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595076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 xml:space="preserve">KA </w:t>
      </w:r>
      <w:r w:rsidR="004773EB" w:rsidRPr="00595076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152</w:t>
      </w:r>
    </w:p>
    <w:p w14:paraId="448C58BF" w14:textId="795F9B4D" w:rsidR="00595076" w:rsidRDefault="00595076" w:rsidP="00595076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(you)</w:t>
      </w:r>
    </w:p>
    <w:p w14:paraId="307AF53F" w14:textId="77777777" w:rsidR="00595076" w:rsidRDefault="00595076" w:rsidP="00595076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</w:p>
    <w:p w14:paraId="43A55D0A" w14:textId="77777777" w:rsidR="00595076" w:rsidRPr="004773EB" w:rsidRDefault="00595076" w:rsidP="00595076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</w:p>
    <w:p w14:paraId="409CBF12" w14:textId="77777777" w:rsidR="004773EB" w:rsidRPr="004773EB" w:rsidRDefault="004773EB" w:rsidP="004773EB">
      <w:pPr>
        <w:keepNext/>
        <w:keepLines/>
        <w:numPr>
          <w:ilvl w:val="0"/>
          <w:numId w:val="9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4773EB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 xml:space="preserve">Wkłady jednostkowe </w:t>
      </w:r>
    </w:p>
    <w:p w14:paraId="585AE111" w14:textId="77777777" w:rsidR="004773EB" w:rsidRPr="004773EB" w:rsidRDefault="004773EB" w:rsidP="004773EB">
      <w:pPr>
        <w:spacing w:after="200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Miejsce pochodzenia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: miejsce, w którym znajduje się organizacja wysyłająca</w:t>
      </w:r>
      <w:r w:rsidRPr="004773EB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1793D9E" w14:textId="3D4B2D13" w:rsidR="004773EB" w:rsidRPr="004773EB" w:rsidRDefault="004773EB" w:rsidP="004773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Zrównoważone środki transportu: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rower, autobus, car-</w:t>
      </w:r>
      <w:proofErr w:type="spellStart"/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pooling</w:t>
      </w:r>
      <w:proofErr w:type="spellEnd"/>
      <w:r w:rsidR="002464F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2464F7" w:rsidRPr="002464F7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(tj. wspólne przejazdy samochodem co najmniej dwóch pasażerów, gdzie kierowca dzieli koszty na paliwo wspólnie z pasażerem/pasażerami) 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i pociąg. </w:t>
      </w:r>
      <w:r w:rsidR="00C83170">
        <w:rPr>
          <w:rFonts w:ascii="Times New Roman" w:eastAsia="Calibri" w:hAnsi="Times New Roman" w:cs="Times New Roman"/>
          <w:kern w:val="0"/>
          <w:sz w:val="24"/>
          <w14:ligatures w14:val="none"/>
        </w:rPr>
        <w:t>Agencja narodowa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może uznać inne środki transportu za zrównoważone w oparciu o utrwaloną praktykę, indywidualnie dla każdego przypadku. </w:t>
      </w:r>
    </w:p>
    <w:p w14:paraId="133D9438" w14:textId="145EE6F7" w:rsidR="004773EB" w:rsidRPr="004773EB" w:rsidRDefault="004773EB" w:rsidP="004773EB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Wkład jednostkowy na pokrycie kosztów podróży zrównoważonymi środkami transportu (podróż z wykorzystaniem ekologicznych środków transportu) jest kwalifikowalny, jeżeli większość podróży w obie strony odbyto zrównoważonymi środkami transportu</w:t>
      </w:r>
      <w:r w:rsidR="008D04F8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 (pod względem przebytej odległości)</w:t>
      </w:r>
      <w:r w:rsidRPr="004773EB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.</w:t>
      </w:r>
    </w:p>
    <w:p w14:paraId="3C6BD633" w14:textId="080D0141" w:rsidR="004773EB" w:rsidRPr="004773EB" w:rsidRDefault="004773EB" w:rsidP="004773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Wkład jednostkowy w przeliczeniu na przedział odległości</w:t>
      </w:r>
      <w:r w:rsidRPr="004773EB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="00C83170">
        <w:rPr>
          <w:rFonts w:ascii="Times New Roman" w:eastAsia="Calibri" w:hAnsi="Times New Roman" w:cs="Times New Roman"/>
          <w:kern w:val="0"/>
          <w:sz w:val="24"/>
          <w14:ligatures w14:val="none"/>
        </w:rPr>
        <w:t>koszt podróży w obie strony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w obie strony między miejscem wyjazdu a miejscem przyjazdu.</w:t>
      </w:r>
    </w:p>
    <w:p w14:paraId="08368F02" w14:textId="77777777" w:rsidR="008D04F8" w:rsidRDefault="004773EB" w:rsidP="099E71D3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99E71D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Miejsce działania</w:t>
      </w:r>
      <w:r w:rsidRPr="004773EB">
        <w:rPr>
          <w:rFonts w:ascii="Times New Roman" w:eastAsia="Calibri" w:hAnsi="Times New Roman" w:cs="Times New Roman"/>
          <w:kern w:val="0"/>
          <w14:ligatures w14:val="none"/>
        </w:rPr>
        <w:t xml:space="preserve">:  </w:t>
      </w:r>
      <w:r w:rsidRPr="099E71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miejsce, w którym znajduje się organizacja przyjmująca</w:t>
      </w:r>
      <w:r w:rsidRPr="004773EB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099E71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00542AA" w14:textId="75F5DBCC" w:rsidR="004773EB" w:rsidRPr="004773EB" w:rsidRDefault="004773EB" w:rsidP="004773EB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zgłoszenia innego miejsca </w:t>
      </w:r>
      <w:r w:rsidR="00C83170">
        <w:rPr>
          <w:rFonts w:ascii="Times New Roman" w:eastAsia="Calibri" w:hAnsi="Times New Roman" w:cs="Times New Roman"/>
          <w:kern w:val="0"/>
          <w:sz w:val="24"/>
          <w14:ligatures w14:val="none"/>
        </w:rPr>
        <w:t>pochodzenia</w:t>
      </w:r>
      <w:r w:rsidR="008D04F8"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lub miejsca działania beneficjent musi uzasadnić taką zmianę.</w:t>
      </w:r>
    </w:p>
    <w:p w14:paraId="34DB28F5" w14:textId="77777777" w:rsidR="004773EB" w:rsidRPr="004773EB" w:rsidRDefault="004773EB" w:rsidP="004773EB">
      <w:pPr>
        <w:spacing w:after="20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Czas podróży nie będzie brany pod uwagę przy ustalaniu zgodności z minimalnym kwalifikowalnym czasem trwania działań w zakresie mobilności określonym w przewodniku po programie. </w:t>
      </w:r>
    </w:p>
    <w:p w14:paraId="56BF177E" w14:textId="69749938" w:rsidR="004773EB" w:rsidRPr="004773EB" w:rsidRDefault="004773EB" w:rsidP="004773EB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SimSun" w:hAnsi="Times New Roman Bold" w:cs="Times New Roman" w:hint="eastAsia"/>
          <w:bCs/>
          <w:kern w:val="0"/>
          <w:sz w:val="24"/>
          <w:szCs w:val="26"/>
          <w:shd w:val="clear" w:color="auto" w:fill="FFFF00"/>
          <w14:ligatures w14:val="none"/>
        </w:rPr>
      </w:pPr>
      <w:r w:rsidRPr="004773EB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1.1 Podróż</w:t>
      </w:r>
      <w:r w:rsidR="008D04F8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e</w:t>
      </w:r>
      <w:r w:rsidRPr="004773EB">
        <w:rPr>
          <w:rFonts w:ascii="Times New Roman Bold" w:eastAsia="Times New Roman" w:hAnsi="Times New Roman Bold" w:cs="Times New Roman"/>
          <w:bCs/>
          <w:kern w:val="0"/>
          <w:sz w:val="24"/>
          <w:szCs w:val="26"/>
          <w14:ligatures w14:val="none"/>
        </w:rPr>
        <w:t xml:space="preserve"> </w:t>
      </w:r>
    </w:p>
    <w:p w14:paraId="7BF52A77" w14:textId="77777777" w:rsidR="004773EB" w:rsidRPr="004773EB" w:rsidRDefault="004773EB" w:rsidP="004773EB">
      <w:pPr>
        <w:suppressAutoHyphens/>
        <w:spacing w:line="276" w:lineRule="auto"/>
        <w:ind w:left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a) Obliczanie całkowitego wkładu jednostkowego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076B1470" w14:textId="777909FF" w:rsidR="004773EB" w:rsidRPr="004773EB" w:rsidRDefault="004773EB" w:rsidP="004773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na pokrycie </w:t>
      </w:r>
      <w:r w:rsidR="008D04F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wsparcia 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podróży oblicza się, mnożąc liczbę uczestników i osób towarzyszących, osób wspomagających proces kształcenia oraz liderów grupy w danym przedziale odległości przez wkład jednostkowy mający zastosowanie do danego przedziału odległości i rodzaju podróży (z wykorzystaniem </w:t>
      </w:r>
      <w:r w:rsidR="008D04F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lub bez wykorzystania 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ekologicznych środków transportu), jak określono w załączniku 3 do umowy. </w:t>
      </w:r>
    </w:p>
    <w:p w14:paraId="31FBD43F" w14:textId="79816F19" w:rsidR="004773EB" w:rsidRPr="004773EB" w:rsidRDefault="004773EB" w:rsidP="004773EB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W przypadku działań objazdowych całkowity wkład jednostkowy oblicza się, mnożąc liczbę uczestników w danym przedziale odległości odpowiadającym sumie 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odległości między poszczególnymi miejscami przez wkład jednostkowy mający zastosowanie do danego przedziału 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 xml:space="preserve">odległości i rodzaju podróży (z wykorzystaniem </w:t>
      </w:r>
      <w:r w:rsidR="008D04F8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lub bez wykorzystania 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ekologicznych środków transportu), jak określono w załączniku 3 do umowy.</w:t>
      </w:r>
    </w:p>
    <w:p w14:paraId="250A3A46" w14:textId="77777777" w:rsidR="004773EB" w:rsidRPr="004773EB" w:rsidRDefault="004773EB" w:rsidP="004773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Aby ustalić odpowiedni przedział odległości, beneficjent wskazuje odległość pokonywaną podczas podróży w jedną stronę, obliczoną za pomocą internetowego kalkulatora odległości dostępnego na stronie internetowej Komisji pod adresem: </w:t>
      </w:r>
      <w:hyperlink r:id="rId7" w:history="1">
        <w:r w:rsidRPr="004773EB">
          <w:rPr>
            <w:rFonts w:ascii="Times New Roman" w:eastAsia="Calibri" w:hAnsi="Times New Roman" w:cs="Times New Roman"/>
            <w:color w:val="0000FF"/>
            <w:kern w:val="0"/>
            <w:sz w:val="24"/>
            <w:u w:val="single"/>
            <w14:ligatures w14:val="none"/>
          </w:rPr>
          <w:t>http://ec.europa.eu/programmes/erasmus-plus/resources/distance-calculator_pl</w:t>
        </w:r>
      </w:hyperlink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. </w:t>
      </w:r>
    </w:p>
    <w:p w14:paraId="146A4A8D" w14:textId="77777777" w:rsidR="004773EB" w:rsidRPr="004773EB" w:rsidRDefault="004773EB" w:rsidP="004773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Beneficjent oblicza całkowity wkład jednostkowy na pokrycie kosztów podróży za pośrednictwem narzędzia sprawozdawczości i zarządzania programem Erasmus+ na podstawie mających zastosowanie stawek wkładu jednostkowego. </w:t>
      </w:r>
    </w:p>
    <w:p w14:paraId="4CBAC2C3" w14:textId="77777777" w:rsidR="004773EB" w:rsidRPr="004773EB" w:rsidRDefault="004773EB" w:rsidP="004773EB">
      <w:pPr>
        <w:numPr>
          <w:ilvl w:val="0"/>
          <w:numId w:val="2"/>
        </w:num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</w:t>
      </w:r>
    </w:p>
    <w:p w14:paraId="33CE8DE1" w14:textId="32961237" w:rsidR="004773EB" w:rsidRPr="004773EB" w:rsidRDefault="008D04F8" w:rsidP="004773E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Wsparcie</w:t>
      </w:r>
      <w:r w:rsidR="004773EB"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podróży jest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4773EB"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tylko wtedy, gdy uczestnik faktycznie podjął działanie.</w:t>
      </w:r>
    </w:p>
    <w:p w14:paraId="1625BED1" w14:textId="77777777" w:rsidR="004773EB" w:rsidRPr="004773EB" w:rsidRDefault="004773EB" w:rsidP="004773EB">
      <w:pPr>
        <w:suppressAutoHyphens/>
        <w:spacing w:after="0" w:line="100" w:lineRule="atLeast"/>
        <w:ind w:left="502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1615BE" w14:textId="77777777" w:rsidR="004773EB" w:rsidRPr="004773EB" w:rsidRDefault="004773EB" w:rsidP="004773E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4773EB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14:ligatures w14:val="none"/>
        </w:rPr>
        <w:t>Dokumenty potwierdzające</w:t>
      </w:r>
    </w:p>
    <w:p w14:paraId="074CEE3F" w14:textId="77777777" w:rsidR="004773EB" w:rsidRPr="004773EB" w:rsidRDefault="004773EB" w:rsidP="004773EB">
      <w:pPr>
        <w:suppressAutoHyphens/>
        <w:spacing w:after="0" w:line="100" w:lineRule="atLeast"/>
        <w:ind w:left="720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2D5CA0A8" w14:textId="189AA26B" w:rsidR="004773EB" w:rsidRPr="004773EB" w:rsidRDefault="005A1C1F" w:rsidP="004773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</w:t>
      </w:r>
      <w:r w:rsidR="004773EB"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oświadczen</w:t>
      </w: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ie </w:t>
      </w:r>
      <w:r w:rsidR="004773EB"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wydane przez organizację przyjmującą i podpisanego przez uczestnika, w tym przez osoby prowadzące szkolenia, osoby wspomagające proces kształcenia, liderów grupy i decydentów oraz osobę towarzyszącą, w którym to oświadczeniu wyszczególniono imię i nazwisko uczestnika/osoby towarzyszącej, cel działania, a także daty jego rozpoczęcia i zakończenia.</w:t>
      </w:r>
    </w:p>
    <w:p w14:paraId="558C2898" w14:textId="7F55A075" w:rsidR="004773EB" w:rsidRPr="004773EB" w:rsidRDefault="004773EB" w:rsidP="004773EB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Ponadto, oprócz dokumentów potwierdzających, w przypadku korzystania ze zrównoważonych środków transportu (podróż z wykorzystaniem ekologicznych środków transportu): dokumentem </w:t>
      </w:r>
      <w:r w:rsidRPr="004773E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potwierdzającym będzie oświadczenie podpisane przez osobę otrzymującą dotację na pokrycie kosztów podróży. </w:t>
      </w:r>
    </w:p>
    <w:p w14:paraId="7CFE27B5" w14:textId="77777777" w:rsidR="004773EB" w:rsidRPr="004773EB" w:rsidRDefault="004773EB" w:rsidP="004773E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:lang w:eastAsia="ar-SA"/>
          <w14:ligatures w14:val="none"/>
        </w:rPr>
      </w:pPr>
    </w:p>
    <w:p w14:paraId="3D463873" w14:textId="12F9B48C" w:rsidR="004773EB" w:rsidRPr="004773EB" w:rsidRDefault="004773EB" w:rsidP="004773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507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Jeżeli miejsce rozpoczęcia podróży jest inne niż miejsce </w:t>
      </w:r>
      <w:r w:rsidR="00BF2114" w:rsidRPr="00595076">
        <w:rPr>
          <w:rFonts w:ascii="Times New Roman" w:eastAsia="Calibri" w:hAnsi="Times New Roman" w:cs="Times New Roman"/>
          <w:kern w:val="0"/>
          <w:sz w:val="24"/>
          <w14:ligatures w14:val="none"/>
        </w:rPr>
        <w:t>pochodzenia</w:t>
      </w:r>
      <w:r w:rsidR="005A1C1F" w:rsidRPr="0059507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595076">
        <w:rPr>
          <w:rFonts w:ascii="Times New Roman" w:eastAsia="Calibri" w:hAnsi="Times New Roman" w:cs="Times New Roman"/>
          <w:kern w:val="0"/>
          <w:sz w:val="24"/>
          <w14:ligatures w14:val="none"/>
        </w:rPr>
        <w:t>lub miejsce zakończenia podróży jest inne niż miejsce działania, beneficjent musi zgłosić przyczynę tej różnicy. W przypadku gdy podróż nie odbyła się lub podróż została sfinansowana ze źródeł UE innych niż program Erasmus+, beneficjent wskazuje w swoim sprawozdaniu, że wsparcie finansowe kosztów podróży nie jest wymagane.</w:t>
      </w:r>
    </w:p>
    <w:p w14:paraId="49F06A9E" w14:textId="77777777" w:rsidR="004773EB" w:rsidRPr="004773EB" w:rsidRDefault="004773EB" w:rsidP="004773EB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Calibri" w:hAnsi="Times New Roman Bold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1.2 Wsparcie indywidualne</w:t>
      </w:r>
    </w:p>
    <w:p w14:paraId="27371D3F" w14:textId="77777777" w:rsidR="004773EB" w:rsidRPr="004773EB" w:rsidRDefault="004773EB" w:rsidP="004773EB">
      <w:pPr>
        <w:numPr>
          <w:ilvl w:val="0"/>
          <w:numId w:val="3"/>
        </w:num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  <w:r w:rsidRPr="004773EB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</w:p>
    <w:p w14:paraId="0869B84E" w14:textId="10902512" w:rsidR="004773EB" w:rsidRPr="004773EB" w:rsidRDefault="004773EB" w:rsidP="004773EB">
      <w:pPr>
        <w:tabs>
          <w:tab w:val="left" w:pos="0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liczbę dni w przeliczeniu na uczestnika i osobę towarzyszącą z uwzględnieniem decydentów, liderów grupy, osób prowadzących szkolenia i osób wspomagających proces kształcenia przez wkład jednostkowy mający zastosowanie w 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 xml:space="preserve">przeliczeniu na dzień w danym kraju przyjmującym, jak określono w załączniku 3 do umowy. Można dodać dni podróży, jeżeli są one </w:t>
      </w:r>
      <w:r w:rsidR="005A1C1F">
        <w:rPr>
          <w:rFonts w:ascii="Times New Roman" w:eastAsia="Calibri" w:hAnsi="Times New Roman" w:cs="Times New Roman"/>
          <w:kern w:val="0"/>
          <w:sz w:val="24"/>
          <w14:ligatures w14:val="none"/>
        </w:rPr>
        <w:t>istotne</w:t>
      </w:r>
      <w:r w:rsidR="005A1C1F"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dla danego działania. </w:t>
      </w:r>
    </w:p>
    <w:p w14:paraId="5AD04793" w14:textId="77777777" w:rsidR="004773EB" w:rsidRPr="004773EB" w:rsidRDefault="004773EB" w:rsidP="004773EB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przerwania pobytu okres przerwy nie będzie brany pod uwagę przy obliczaniu dotacji na wsparcie indywidualne. W przypadku przerwy spowodowanej siłą wyższą uczestnik musi mieć możliwość wznowienia i kontynuowania działań po ich przerwaniu (na warunkach określonych w niniejszej umowie).</w:t>
      </w:r>
    </w:p>
    <w:p w14:paraId="0356B7EF" w14:textId="77777777" w:rsidR="004773EB" w:rsidRPr="004773EB" w:rsidRDefault="004773EB" w:rsidP="004773EB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rozwiązania przez uczestnika umowy ze względu na działanie siły wyższej uczestnik musi mieć prawo do otrzymania kwoty dotacji w wysokości odpowiadającej rzeczywistemu czasowi trwania okresu mobilności. Wszelkie pozostałe środki muszą zostać zwrócone beneficjentowi, chyba że strony uzgodniły inaczej.</w:t>
      </w:r>
    </w:p>
    <w:p w14:paraId="30DB0406" w14:textId="77777777" w:rsidR="004773EB" w:rsidRPr="004773EB" w:rsidRDefault="004773EB" w:rsidP="004773EB">
      <w:pPr>
        <w:numPr>
          <w:ilvl w:val="0"/>
          <w:numId w:val="3"/>
        </w:num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4773EB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5D36167F" w14:textId="04EADE96" w:rsidR="004773EB" w:rsidRPr="004773EB" w:rsidRDefault="004773EB" w:rsidP="004773EB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indywidualne jest </w:t>
      </w:r>
      <w:r w:rsidR="005A1C1F"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</w:t>
      </w:r>
      <w:proofErr w:type="spellStart"/>
      <w:r w:rsidR="005A1C1F">
        <w:rPr>
          <w:rFonts w:ascii="Times New Roman" w:eastAsia="Calibri" w:hAnsi="Times New Roman" w:cs="Times New Roman"/>
          <w:kern w:val="0"/>
          <w:sz w:val="24"/>
          <w14:ligatures w14:val="none"/>
        </w:rPr>
        <w:t>uprawnone</w:t>
      </w:r>
      <w:proofErr w:type="spellEnd"/>
      <w:r w:rsidR="005A1C1F">
        <w:rPr>
          <w:rFonts w:ascii="Times New Roman" w:eastAsia="Calibri" w:hAnsi="Times New Roman" w:cs="Times New Roman"/>
          <w:kern w:val="0"/>
          <w:sz w:val="24"/>
          <w14:ligatures w14:val="none"/>
        </w:rPr>
        <w:t>)</w:t>
      </w:r>
      <w:r w:rsidR="005A1C1F"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tylko wtedy, gdy uczestnik faktycznie podjął działanie w określonym czasie.</w:t>
      </w:r>
    </w:p>
    <w:p w14:paraId="7F09E870" w14:textId="77777777" w:rsidR="004773EB" w:rsidRPr="004773EB" w:rsidRDefault="004773EB" w:rsidP="004773EB">
      <w:pPr>
        <w:numPr>
          <w:ilvl w:val="0"/>
          <w:numId w:val="3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4773EB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>Dokumenty potwierdzające:</w:t>
      </w:r>
    </w:p>
    <w:p w14:paraId="3A271CE1" w14:textId="1C263329" w:rsidR="004773EB" w:rsidRPr="004773EB" w:rsidRDefault="005A1C1F" w:rsidP="004773EB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</w:t>
      </w:r>
      <w:r w:rsidR="004773EB"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oświadczeni</w:t>
      </w: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e</w:t>
      </w:r>
      <w:r w:rsidR="004773EB"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podpisane przez uczestnika i organizację przyjmującą, w którym wyszczególniono imię i nazwisko uczestnika, cel działania, a także daty jego rozpoczęcia i zakończenia.</w:t>
      </w:r>
    </w:p>
    <w:p w14:paraId="098BB7E3" w14:textId="77777777" w:rsidR="004773EB" w:rsidRPr="004773EB" w:rsidRDefault="004773EB" w:rsidP="004773EB">
      <w:pPr>
        <w:numPr>
          <w:ilvl w:val="0"/>
          <w:numId w:val="3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4773EB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 xml:space="preserve">Sprawozdawczość: </w:t>
      </w:r>
    </w:p>
    <w:p w14:paraId="501A3244" w14:textId="00856D3C" w:rsidR="004773EB" w:rsidRPr="004773EB" w:rsidRDefault="004D66AC" w:rsidP="004773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1F497D"/>
          <w:kern w:val="0"/>
          <w:sz w:val="24"/>
          <w:szCs w:val="24"/>
          <w14:ligatures w14:val="none"/>
        </w:rPr>
      </w:pPr>
      <w:bookmarkStart w:id="0" w:name="_Hlk116664147"/>
      <w:r>
        <w:rPr>
          <w:rFonts w:ascii="Times New Roman" w:eastAsia="Calibri" w:hAnsi="Times New Roman" w:cs="Times New Roman"/>
          <w:kern w:val="0"/>
          <w:sz w:val="24"/>
          <w14:ligatures w14:val="none"/>
        </w:rPr>
        <w:t>L</w:t>
      </w:r>
      <w:r w:rsidR="004773EB"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iderzy grupy w przypadku działań w zakresie mobilności muszą skorzystać ze standardowego kwestionariusza internetowego udostępnionego przez Komisję Europejską (sprawozdanie uczestnika), aby przedstawić informacje faktyczne i ocenę działania w zakresie mobilności, jego przygotowania i działań następczych. </w:t>
      </w:r>
    </w:p>
    <w:bookmarkEnd w:id="0"/>
    <w:p w14:paraId="18073A64" w14:textId="77777777" w:rsidR="004773EB" w:rsidRPr="004773EB" w:rsidRDefault="004773EB" w:rsidP="004773EB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4773EB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1.3 Wsparcie organizacyjne</w:t>
      </w:r>
    </w:p>
    <w:p w14:paraId="6857C014" w14:textId="77777777" w:rsidR="004773EB" w:rsidRPr="004773EB" w:rsidRDefault="004773EB" w:rsidP="004773EB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</w:p>
    <w:p w14:paraId="0970B07C" w14:textId="77777777" w:rsidR="004773EB" w:rsidRPr="004773EB" w:rsidRDefault="004773EB" w:rsidP="004773EB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łączną liczbę uczestników w działaniach w zakresie mobilności przez mający zastosowanie wkład jednostkowy, jak określono w załączniku 3 do umowy. Osoby towarzyszące i liderzy grupy, osoby prowadzące szkolenia, osoby wspomagające proces kształcenia oraz osoby biorące udział w wizytach przygotowawczych nie są uznawane za uczestników działań w zakresie mobilności i nie są brane pod uwagę przy obliczaniu wsparcia organizacyjnego.</w:t>
      </w:r>
    </w:p>
    <w:p w14:paraId="432F4A22" w14:textId="77777777" w:rsidR="004773EB" w:rsidRPr="004773EB" w:rsidRDefault="004773EB" w:rsidP="004773EB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4773EB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5E8B1D76" w14:textId="2D914BCD" w:rsidR="005A1C1F" w:rsidRDefault="004773EB" w:rsidP="004773EB">
      <w:pPr>
        <w:tabs>
          <w:tab w:val="left" w:pos="567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organizacyjne jest </w:t>
      </w:r>
      <w:r w:rsidR="005A1C1F"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</w:t>
      </w:r>
      <w:proofErr w:type="spellStart"/>
      <w:r w:rsidR="005A1C1F">
        <w:rPr>
          <w:rFonts w:ascii="Times New Roman" w:eastAsia="Calibri" w:hAnsi="Times New Roman" w:cs="Times New Roman"/>
          <w:kern w:val="0"/>
          <w:sz w:val="24"/>
          <w14:ligatures w14:val="none"/>
        </w:rPr>
        <w:t>uprawnone</w:t>
      </w:r>
      <w:proofErr w:type="spellEnd"/>
      <w:r w:rsidR="005A1C1F">
        <w:rPr>
          <w:rFonts w:ascii="Times New Roman" w:eastAsia="Calibri" w:hAnsi="Times New Roman" w:cs="Times New Roman"/>
          <w:kern w:val="0"/>
          <w:sz w:val="24"/>
          <w14:ligatures w14:val="none"/>
        </w:rPr>
        <w:t>)</w:t>
      </w:r>
      <w:r w:rsidR="005A1C1F"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tylko wtedy, gdy uczestnik faktycznie podjął działanie. </w:t>
      </w:r>
    </w:p>
    <w:p w14:paraId="083BBFF7" w14:textId="745CE7A6" w:rsidR="004773EB" w:rsidRPr="005A1C1F" w:rsidRDefault="004773EB" w:rsidP="005A1C1F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5A1C1F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Dokumenty potwierdzające: </w:t>
      </w:r>
    </w:p>
    <w:p w14:paraId="77401063" w14:textId="3A15B12B" w:rsidR="004773EB" w:rsidRPr="004773EB" w:rsidRDefault="005A1C1F" w:rsidP="004773EB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A1C1F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Dokumentem potwierdzającym jest oświadczenie podpisane przez uczestnika i organizację przyjmującą, w którym wyszczególniono imię i nazwisko uczestnika, cel działania, a także daty jego rozpoczęcia i zakończenia</w:t>
      </w:r>
      <w:r w:rsidR="004773EB"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.</w:t>
      </w:r>
    </w:p>
    <w:p w14:paraId="6FC1A5DD" w14:textId="77777777" w:rsidR="004773EB" w:rsidRPr="004773EB" w:rsidDel="00CD2603" w:rsidRDefault="004773EB" w:rsidP="004773EB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Sprawozdawczość: </w:t>
      </w:r>
    </w:p>
    <w:p w14:paraId="730511E2" w14:textId="77777777" w:rsidR="004773EB" w:rsidRPr="004773EB" w:rsidRDefault="004773EB" w:rsidP="005A1C1F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Koordynator musi zgłosić wszelkie działania w zakresie mobilności zrealizowane w ramach projektu, w tym działania z kraju przyjmującego.</w:t>
      </w:r>
    </w:p>
    <w:p w14:paraId="248BFC05" w14:textId="77777777" w:rsidR="004773EB" w:rsidRPr="004773EB" w:rsidRDefault="004773EB" w:rsidP="004773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Liderzy grupy powinni złożyć sprawozdanie z tych działań z wykorzystaniem internetowego kwestionariusza, w którym przedstawią informacje zwrotne na temat faktycznych i jakościowych elementów okresu działania, a także przygotowania do niego i działań podejmowanych po jego zakończeniu.</w:t>
      </w:r>
    </w:p>
    <w:p w14:paraId="78F970FB" w14:textId="77777777" w:rsidR="005A1C1F" w:rsidRDefault="004773EB" w:rsidP="004773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4773EB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 xml:space="preserve">1.4-1.6 </w:t>
      </w:r>
    </w:p>
    <w:p w14:paraId="29501B78" w14:textId="7EDB5475" w:rsidR="004773EB" w:rsidRPr="00595076" w:rsidRDefault="004773EB" w:rsidP="004773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5076">
        <w:rPr>
          <w:rFonts w:ascii="Times New Roman" w:eastAsia="Calibri" w:hAnsi="Times New Roman" w:cs="Times New Roman"/>
          <w:kern w:val="0"/>
          <w:sz w:val="24"/>
          <w14:ligatures w14:val="none"/>
        </w:rPr>
        <w:t>Nie dotyczy</w:t>
      </w:r>
      <w:r w:rsidR="005A1C1F" w:rsidRPr="00595076">
        <w:rPr>
          <w:rFonts w:ascii="Times New Roman" w:eastAsia="Calibri" w:hAnsi="Times New Roman" w:cs="Times New Roman"/>
          <w:kern w:val="0"/>
          <w:sz w:val="24"/>
          <w14:ligatures w14:val="none"/>
        </w:rPr>
        <w:t>.</w:t>
      </w:r>
    </w:p>
    <w:p w14:paraId="013A814C" w14:textId="77777777" w:rsidR="004773EB" w:rsidRPr="004773EB" w:rsidRDefault="004773EB" w:rsidP="004773EB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1.7 Wsparcie włączenia dla organizacji</w:t>
      </w:r>
    </w:p>
    <w:p w14:paraId="3C7EE4A7" w14:textId="77777777" w:rsidR="004773EB" w:rsidRPr="004773EB" w:rsidRDefault="004773EB" w:rsidP="004773EB">
      <w:pPr>
        <w:numPr>
          <w:ilvl w:val="0"/>
          <w:numId w:val="5"/>
        </w:numPr>
        <w:suppressAutoHyphens/>
        <w:spacing w:after="0" w:line="276" w:lineRule="auto"/>
        <w:ind w:left="851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Obliczanie całkowitego wkładu jednostkowego: </w:t>
      </w:r>
    </w:p>
    <w:p w14:paraId="6B169C4E" w14:textId="77777777" w:rsidR="004773EB" w:rsidRPr="004773EB" w:rsidRDefault="004773EB" w:rsidP="004773EB">
      <w:pPr>
        <w:suppressAutoHyphens/>
        <w:spacing w:after="0" w:line="276" w:lineRule="auto"/>
        <w:rPr>
          <w:rFonts w:ascii="Calibri" w:eastAsia="SimSun" w:hAnsi="Calibri" w:cs="Times New Roman"/>
          <w:kern w:val="0"/>
          <w:szCs w:val="24"/>
          <w:lang w:eastAsia="ar-SA"/>
          <w14:ligatures w14:val="none"/>
        </w:rPr>
      </w:pPr>
    </w:p>
    <w:p w14:paraId="5D774622" w14:textId="77777777" w:rsidR="004773EB" w:rsidRPr="004773EB" w:rsidRDefault="004773EB" w:rsidP="004773E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łączną liczbę uczestników o mniejszych szansach działań w zakresie mobilności przez mający zastosowanie wkład jednostkowy, jak określono w załączniku 3 do umowy. </w:t>
      </w:r>
    </w:p>
    <w:p w14:paraId="43CA7279" w14:textId="77777777" w:rsidR="004773EB" w:rsidRPr="004773EB" w:rsidRDefault="004773EB" w:rsidP="004773EB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89669EB" w14:textId="77777777" w:rsidR="004773EB" w:rsidRPr="004773EB" w:rsidRDefault="004773EB" w:rsidP="004773EB">
      <w:pPr>
        <w:numPr>
          <w:ilvl w:val="0"/>
          <w:numId w:val="5"/>
        </w:numPr>
        <w:suppressAutoHyphens/>
        <w:spacing w:after="200" w:line="276" w:lineRule="auto"/>
        <w:ind w:left="709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Zdarzenie inicjujące: </w:t>
      </w:r>
    </w:p>
    <w:p w14:paraId="4D6A2DAB" w14:textId="7B2E8197" w:rsidR="004773EB" w:rsidRPr="004773EB" w:rsidRDefault="004773EB" w:rsidP="004773EB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Wsparcie włączenia dla organizacji wypłaca się tylko wtedy, gdy dany uczestnik faktycznie podjął działanie a organizacja uczestnicząca zorganizowała działania w zakresie mobilności tego uczestnika].</w:t>
      </w:r>
    </w:p>
    <w:p w14:paraId="7D66D607" w14:textId="77777777" w:rsidR="004773EB" w:rsidRPr="004773EB" w:rsidRDefault="004773EB" w:rsidP="004773EB">
      <w:pPr>
        <w:numPr>
          <w:ilvl w:val="0"/>
          <w:numId w:val="5"/>
        </w:numPr>
        <w:suppressAutoHyphens/>
        <w:spacing w:after="120" w:line="276" w:lineRule="auto"/>
        <w:ind w:left="709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6D2DD3BC" w14:textId="3D15E0B0" w:rsidR="004773EB" w:rsidRPr="004773EB" w:rsidRDefault="000E20C6" w:rsidP="004773EB">
      <w:pPr>
        <w:suppressAutoHyphens/>
        <w:spacing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Dokumentem potwierdzającym jest </w:t>
      </w:r>
      <w:r w:rsidR="004773EB"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oświadczeni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e</w:t>
      </w:r>
      <w:r w:rsidR="004773EB"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podpisane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przez</w:t>
      </w:r>
      <w:r w:rsidR="004773EB"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organizację przyjmującą , w którym wyszczególniono imię i nazwisko uczestnika oraz cel działania.</w:t>
      </w:r>
    </w:p>
    <w:p w14:paraId="1220C39E" w14:textId="0622A7D7" w:rsidR="004773EB" w:rsidRDefault="004773EB" w:rsidP="004773EB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  <w:r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Ponadto: dokumentacja określona przez </w:t>
      </w:r>
      <w:r w:rsidR="000E20C6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a</w:t>
      </w:r>
      <w:r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gencję </w:t>
      </w:r>
      <w:r w:rsidR="000E20C6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n</w:t>
      </w:r>
      <w:r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arodową jako dopuszczalny dowód na to, że uczestnik należy do jednej z kategorii osób o mniejszych szansach wymienionych w przewodniku po programie.</w:t>
      </w:r>
    </w:p>
    <w:p w14:paraId="0EE3C750" w14:textId="476EA600" w:rsidR="000E20C6" w:rsidRPr="000E20C6" w:rsidRDefault="000E20C6" w:rsidP="004773EB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0E20C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14:ligatures w14:val="none"/>
        </w:rPr>
        <w:t>1.8 -1.9</w:t>
      </w:r>
    </w:p>
    <w:p w14:paraId="40477DF2" w14:textId="046F1D6D" w:rsidR="000E20C6" w:rsidRPr="00595076" w:rsidRDefault="000E20C6" w:rsidP="004773EB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595076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Nie dotyczy.</w:t>
      </w:r>
    </w:p>
    <w:p w14:paraId="0DFD42AB" w14:textId="77777777" w:rsidR="004773EB" w:rsidRPr="004773EB" w:rsidRDefault="004773EB" w:rsidP="004773EB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1.10 Wizyty przygotowawcze</w:t>
      </w:r>
    </w:p>
    <w:p w14:paraId="47F34B6C" w14:textId="77777777" w:rsidR="004773EB" w:rsidRPr="004773EB" w:rsidRDefault="004773EB" w:rsidP="004773EB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jednostkowego:</w:t>
      </w:r>
    </w:p>
    <w:p w14:paraId="5BA15C01" w14:textId="77777777" w:rsidR="004773EB" w:rsidRPr="004773EB" w:rsidRDefault="004773EB" w:rsidP="004773E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łączną liczbę osób uczestniczących w wizytach przygotowawczych przez mający zastosowanie wkład jednostkowy, jak określono w załączniku 3 do umowy. </w:t>
      </w:r>
    </w:p>
    <w:p w14:paraId="5853702C" w14:textId="77777777" w:rsidR="004773EB" w:rsidRPr="004773EB" w:rsidRDefault="004773EB" w:rsidP="004773EB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40331B6" w14:textId="77777777" w:rsidR="004773EB" w:rsidRPr="004773EB" w:rsidRDefault="004773EB" w:rsidP="004773EB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4773EB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5996D1E8" w14:textId="7A8DA3B1" w:rsidR="004773EB" w:rsidRPr="004773EB" w:rsidRDefault="004773EB" w:rsidP="004773EB">
      <w:pPr>
        <w:suppressAutoHyphens/>
        <w:spacing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Wkład jednostkowy na wizytę przygotowawczą </w:t>
      </w:r>
      <w:r w:rsidR="000E20C6">
        <w:rPr>
          <w:rFonts w:ascii="Times New Roman" w:eastAsia="Calibri" w:hAnsi="Times New Roman" w:cs="Times New Roman"/>
          <w:kern w:val="0"/>
          <w:sz w:val="24"/>
          <w14:ligatures w14:val="none"/>
        </w:rPr>
        <w:t>jest kwalifikowalny (uprawniony)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, gdy dany uczestnik faktycznie wziął udział w wizycie przygotowawczej.</w:t>
      </w:r>
    </w:p>
    <w:p w14:paraId="09FF935E" w14:textId="77777777" w:rsidR="004773EB" w:rsidRPr="004773EB" w:rsidRDefault="004773EB" w:rsidP="004773EB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2CC527B6" w14:textId="3B792BCE" w:rsidR="004773EB" w:rsidRDefault="000E20C6" w:rsidP="004773E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wypełniony program </w:t>
      </w:r>
      <w:r w:rsidR="004773EB"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spotkania, zawierając</w:t>
      </w: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y</w:t>
      </w:r>
      <w:r w:rsidR="004773EB" w:rsidRPr="004773EB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imiona i nazwiska osób przyjeżdżających, podpisany przez osoby przyjeżdżające i organizację przyjmującą. </w:t>
      </w:r>
    </w:p>
    <w:p w14:paraId="3C5983FD" w14:textId="77777777" w:rsidR="00595076" w:rsidRDefault="00595076" w:rsidP="004773E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3B57603E" w14:textId="77777777" w:rsidR="00595076" w:rsidRPr="004773EB" w:rsidRDefault="00595076" w:rsidP="004773E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22912B30" w14:textId="77777777" w:rsidR="004773EB" w:rsidRPr="004773EB" w:rsidRDefault="004773EB" w:rsidP="004773EB">
      <w:pPr>
        <w:keepNext/>
        <w:keepLines/>
        <w:numPr>
          <w:ilvl w:val="0"/>
          <w:numId w:val="9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4773EB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>Koszty rzeczywiste</w:t>
      </w:r>
    </w:p>
    <w:p w14:paraId="3632A183" w14:textId="77777777" w:rsidR="004773EB" w:rsidRPr="004773EB" w:rsidRDefault="004773EB" w:rsidP="004773EB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4773EB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2.1 Wsparcie włączenia dla uczestników</w:t>
      </w:r>
    </w:p>
    <w:p w14:paraId="4F6AE698" w14:textId="77777777" w:rsidR="004773EB" w:rsidRPr="004773EB" w:rsidRDefault="004773EB" w:rsidP="004773EB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531D4469" w14:textId="77777777" w:rsidR="004773EB" w:rsidRPr="004773EB" w:rsidRDefault="004773EB" w:rsidP="004773EB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Dotacja stanowi zwrot 100 % faktycznie poniesionych kosztów kwalifikowalnych.</w:t>
      </w:r>
    </w:p>
    <w:p w14:paraId="24D65F44" w14:textId="77777777" w:rsidR="004773EB" w:rsidRPr="004773EB" w:rsidRDefault="004773EB" w:rsidP="004773EB">
      <w:p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5076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b)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4773EB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Koszty kwalifikowalne</w:t>
      </w: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4F11757D" w14:textId="77777777" w:rsidR="004773EB" w:rsidRPr="004773EB" w:rsidRDefault="004773EB" w:rsidP="004773EB">
      <w:pPr>
        <w:tabs>
          <w:tab w:val="left" w:pos="0"/>
        </w:tabs>
        <w:suppressAutoHyphens/>
        <w:spacing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>koszty bezpośrednio związane z uczestnikami o mniejszych szansach i osobami im towarzyszącymi. Jeżeli uczestnik występuje o zwrot kosztów podróży i wsparcia indywidualnego w ramach tej kategorii budżetu, nie można wnioskować o wkład jednostkowy w odniesieniu do tych kategorii dla tego samego uczestnika.</w:t>
      </w:r>
    </w:p>
    <w:p w14:paraId="6BD528AE" w14:textId="77777777" w:rsidR="004773EB" w:rsidRPr="004773EB" w:rsidRDefault="004773EB" w:rsidP="000E20C6">
      <w:pPr>
        <w:numPr>
          <w:ilvl w:val="0"/>
          <w:numId w:val="10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Pr="004773EB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6B86871B" w14:textId="329247DE" w:rsidR="004773EB" w:rsidRPr="004773EB" w:rsidRDefault="000E6ADE" w:rsidP="004773EB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5076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="004773EB" w:rsidRPr="00595076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walutę, datę wystawienia faktury, oraz, w razie potrzeby, dokumentacja podpisana przez organizację przyjmującą określająca potwierdzoną datę rozpoczęcia i zakończenia pobytu osoby towarzyszącej.</w:t>
      </w:r>
    </w:p>
    <w:p w14:paraId="22FA063B" w14:textId="77777777" w:rsidR="004773EB" w:rsidRPr="004773EB" w:rsidRDefault="004773EB" w:rsidP="00595076">
      <w:pPr>
        <w:numPr>
          <w:ilvl w:val="0"/>
          <w:numId w:val="10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Sprawozdawczość:</w:t>
      </w:r>
      <w:r w:rsidRPr="004773EB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6CCDBCCE" w14:textId="77777777" w:rsidR="004773EB" w:rsidRPr="004773EB" w:rsidRDefault="004773EB" w:rsidP="004773EB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odniesieniu do każdej pozycji kosztów w tej kategorii budżetowej beneficjent musi podać rodzaj kosztów i rzeczywistą kwotę poniesionych kosztów. </w:t>
      </w:r>
    </w:p>
    <w:p w14:paraId="2BD10D98" w14:textId="77777777" w:rsidR="004773EB" w:rsidRPr="004773EB" w:rsidRDefault="004773EB" w:rsidP="004773EB">
      <w:pPr>
        <w:keepNext/>
        <w:keepLines/>
        <w:numPr>
          <w:ilvl w:val="1"/>
          <w:numId w:val="9"/>
        </w:numPr>
        <w:spacing w:before="240" w:after="200" w:line="240" w:lineRule="auto"/>
        <w:ind w:left="426" w:hanging="284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4773EB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Koszty nadzwyczajne</w:t>
      </w:r>
    </w:p>
    <w:p w14:paraId="0E034348" w14:textId="77777777" w:rsidR="004773EB" w:rsidRPr="004773EB" w:rsidRDefault="004773EB" w:rsidP="004773EB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2E38EA70" w14:textId="77777777" w:rsidR="004773EB" w:rsidRPr="004773EB" w:rsidRDefault="004773EB" w:rsidP="004773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Dotacja stanowi zwrot 80% faktycznie poniesionych kosztów kwalifikowalnych wymienionych poniżej (z wyjątkiem kosztów wizy, zezwoleń na pobyt i szczepienia oraz kosztów zaświadczeń lekarskich, które podlegają zwrotowi w wysokości 100%). </w:t>
      </w:r>
    </w:p>
    <w:p w14:paraId="588696E3" w14:textId="77777777" w:rsidR="004773EB" w:rsidRPr="004773EB" w:rsidRDefault="004773EB" w:rsidP="004773EB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Koszty kwalifikowalne: </w:t>
      </w:r>
    </w:p>
    <w:p w14:paraId="3E577841" w14:textId="7C7FD5C6" w:rsidR="004773EB" w:rsidRPr="000E20C6" w:rsidRDefault="004773EB" w:rsidP="004773EB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Koszty związane z gwarancją dotyczącą płatności zaliczkowych wniesioną przez beneficjenta, w przypadku gdy takiej gwarancji wymaga </w:t>
      </w:r>
      <w:r w:rsidR="000E20C6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4773EB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gencja </w:t>
      </w:r>
      <w:r w:rsidR="000E20C6">
        <w:rPr>
          <w:rFonts w:ascii="Times New Roman" w:eastAsia="Times New Roman" w:hAnsi="Times New Roman" w:cs="Times New Roman"/>
          <w:kern w:val="0"/>
          <w:sz w:val="24"/>
          <w14:ligatures w14:val="none"/>
        </w:rPr>
        <w:t>n</w:t>
      </w:r>
      <w:r w:rsidRPr="004773EB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arodowa, jak określono w arkuszu danych (zob. pkt 4).  </w:t>
      </w:r>
    </w:p>
    <w:p w14:paraId="35F79E43" w14:textId="15A9B1B5" w:rsidR="000E20C6" w:rsidRPr="004773EB" w:rsidRDefault="000E20C6" w:rsidP="004773EB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0E20C6">
        <w:rPr>
          <w:rFonts w:ascii="Times New Roman" w:eastAsia="SimSun" w:hAnsi="Times New Roman" w:cs="Times New Roman"/>
          <w:kern w:val="0"/>
          <w:sz w:val="24"/>
          <w14:ligatures w14:val="none"/>
        </w:rPr>
        <w:t xml:space="preserve">Wysokie koszty podróży: koszty podróży w najkorzystniejszy ekonomicznie a zarazem efektywny sposób, jeżeli wkład jednostkowy nie pokrywa co najmniej 70 % </w:t>
      </w:r>
      <w:r w:rsidR="00C41C53">
        <w:rPr>
          <w:rFonts w:ascii="Times New Roman" w:eastAsia="SimSun" w:hAnsi="Times New Roman" w:cs="Times New Roman"/>
          <w:kern w:val="0"/>
          <w:sz w:val="24"/>
          <w14:ligatures w14:val="none"/>
        </w:rPr>
        <w:t>wsparcie</w:t>
      </w:r>
      <w:r w:rsidRPr="000E20C6">
        <w:rPr>
          <w:rFonts w:ascii="Times New Roman" w:eastAsia="SimSun" w:hAnsi="Times New Roman" w:cs="Times New Roman"/>
          <w:kern w:val="0"/>
          <w:sz w:val="24"/>
          <w14:ligatures w14:val="none"/>
        </w:rPr>
        <w:t xml:space="preserve"> podróży.</w:t>
      </w:r>
      <w:r w:rsidR="007754A0" w:rsidRPr="007754A0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14:ligatures w14:val="none"/>
        </w:rPr>
        <w:t xml:space="preserve"> </w:t>
      </w:r>
      <w:r w:rsidR="007754A0" w:rsidRPr="007754A0">
        <w:rPr>
          <w:rFonts w:ascii="Times New Roman" w:eastAsia="SimSun" w:hAnsi="Times New Roman" w:cs="Times New Roman"/>
          <w:kern w:val="0"/>
          <w:sz w:val="24"/>
          <w14:ligatures w14:val="none"/>
        </w:rPr>
        <w:t>Koszty nadzwyczajne związane z wysokimi kosztami podróży zastępują wsparcie podróży.  </w:t>
      </w:r>
    </w:p>
    <w:p w14:paraId="3CAD1DC5" w14:textId="77777777" w:rsidR="004773EB" w:rsidRPr="004773EB" w:rsidRDefault="004773EB" w:rsidP="004773EB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Times New Roman" w:hAnsi="Times New Roman" w:cs="Times New Roman"/>
          <w:kern w:val="0"/>
          <w:sz w:val="24"/>
          <w14:ligatures w14:val="none"/>
        </w:rPr>
        <w:t>Koszty wiz i koszty związane z otrzymaniem wiz, koszty zezwoleń na pobyt, szczepień i zaświadczeń lekarskich.</w:t>
      </w:r>
    </w:p>
    <w:p w14:paraId="585BE555" w14:textId="77777777" w:rsidR="004773EB" w:rsidRPr="004773EB" w:rsidRDefault="004773EB" w:rsidP="004773EB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879D4C1" w14:textId="77777777" w:rsidR="004773EB" w:rsidRPr="004773EB" w:rsidRDefault="004773EB" w:rsidP="004773E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54E3D903" w14:textId="77777777" w:rsidR="004773EB" w:rsidRPr="004773EB" w:rsidRDefault="004773EB" w:rsidP="004773EB">
      <w:p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4092D51" w14:textId="77777777" w:rsidR="004773EB" w:rsidRPr="004773EB" w:rsidRDefault="004773EB" w:rsidP="004773E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4773EB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Dowód poniesienia kosztów związanych z zabezpieczeniem finansowym wydany przez organ udzielający zabezpieczenia beneficjentowi, w którym to dowodzie wyszczególniono nazwę i adres organu wydającego zabezpieczenie finansowe, kwotę i walutę kosztów związanych z zabezpieczeniem oraz który opatrzono datą i podpisem pełnomocnika organu wydającego zabezpieczenie. </w:t>
      </w:r>
    </w:p>
    <w:p w14:paraId="2F1C657A" w14:textId="77777777" w:rsidR="004773EB" w:rsidRPr="004773EB" w:rsidRDefault="004773EB" w:rsidP="004773EB">
      <w:pPr>
        <w:suppressAutoHyphens/>
        <w:spacing w:after="0" w:line="276" w:lineRule="auto"/>
        <w:ind w:left="113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F6DC61F" w14:textId="4F38FF32" w:rsidR="004773EB" w:rsidRPr="00595076" w:rsidRDefault="004773EB" w:rsidP="004773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507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wysokich kosztów podróży: </w:t>
      </w:r>
      <w:r w:rsidR="000E6ADE" w:rsidRPr="0059507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dowód zapłaty powiązanych kosztów na podstawie faktur</w:t>
      </w:r>
      <w:r w:rsidRPr="00595076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, w których to fakturach wyszczególniono nazwę i adres organu wystawiającego fakturę, kwotę i walutę, datę wystawienia faktury i trasę podróży.</w:t>
      </w:r>
    </w:p>
    <w:p w14:paraId="61567411" w14:textId="58A2FB27" w:rsidR="004773EB" w:rsidRPr="004773EB" w:rsidRDefault="004773EB" w:rsidP="004773E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59507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kosztów podróży związanych z wizami, zezwoleniami na pobyt i szczepieniami oraz zaświadczeniami lekarskimi: </w:t>
      </w:r>
      <w:r w:rsidR="000E6ADE" w:rsidRPr="00595076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Pr="00595076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 oraz datę wystawienia faktury.</w:t>
      </w:r>
    </w:p>
    <w:p w14:paraId="4CAFA417" w14:textId="77777777" w:rsidR="004773EB" w:rsidRPr="004773EB" w:rsidRDefault="004773EB" w:rsidP="004773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936E020" w14:textId="77777777" w:rsidR="004773EB" w:rsidRPr="004773EB" w:rsidRDefault="004773EB" w:rsidP="004773E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FF171FD" w14:textId="77777777" w:rsidR="00A05DE9" w:rsidRDefault="00A05DE9"/>
    <w:sectPr w:rsidR="00A05DE9" w:rsidSect="00477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D267B" w14:textId="77777777" w:rsidR="004D66AC" w:rsidRDefault="004D66AC">
      <w:pPr>
        <w:spacing w:after="0" w:line="240" w:lineRule="auto"/>
      </w:pPr>
      <w:r>
        <w:separator/>
      </w:r>
    </w:p>
  </w:endnote>
  <w:endnote w:type="continuationSeparator" w:id="0">
    <w:p w14:paraId="06AD76EE" w14:textId="77777777" w:rsidR="004D66AC" w:rsidRDefault="004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3F863" w14:textId="77777777" w:rsidR="009C1C4C" w:rsidRDefault="009C1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977D7" w14:textId="77777777" w:rsidR="009C1C4C" w:rsidRPr="004773EB" w:rsidRDefault="009C1C4C">
    <w:pPr>
      <w:pStyle w:val="Stopka"/>
      <w:rPr>
        <w:rFonts w:ascii="Calibri Light" w:eastAsia="Times New Roman" w:hAnsi="Calibri Light" w:cs="Times New Roman"/>
        <w:sz w:val="20"/>
        <w:szCs w:val="20"/>
      </w:rPr>
    </w:pPr>
    <w:r w:rsidRPr="001F7A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B479E" wp14:editId="458757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Prostokąt 77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2F4801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">
              <w10:wrap anchorx="page" anchory="page"/>
            </v:rect>
          </w:pict>
        </mc:Fallback>
      </mc:AlternateContent>
    </w:r>
    <w:r w:rsidRPr="001F7A42">
      <w:t xml:space="preserve"> </w:t>
    </w:r>
    <w:r w:rsidRPr="004773EB">
      <w:rPr>
        <w:rFonts w:ascii="Calibri Light" w:eastAsia="Times New Roman" w:hAnsi="Calibri Light" w:cs="Times New Roman"/>
        <w:sz w:val="20"/>
        <w:szCs w:val="20"/>
      </w:rPr>
      <w:t xml:space="preserve">str. </w:t>
    </w:r>
    <w:r w:rsidRPr="004773EB">
      <w:rPr>
        <w:rFonts w:eastAsia="Times New Roman"/>
        <w:sz w:val="20"/>
        <w:szCs w:val="20"/>
      </w:rPr>
      <w:fldChar w:fldCharType="begin"/>
    </w:r>
    <w:r w:rsidRPr="001F7A42">
      <w:rPr>
        <w:sz w:val="20"/>
        <w:szCs w:val="20"/>
      </w:rPr>
      <w:instrText>PAGE    \* MERGEFORMAT</w:instrText>
    </w:r>
    <w:r w:rsidRPr="004773EB">
      <w:rPr>
        <w:rFonts w:eastAsia="Times New Roman"/>
        <w:sz w:val="20"/>
        <w:szCs w:val="20"/>
      </w:rPr>
      <w:fldChar w:fldCharType="separate"/>
    </w:r>
    <w:r w:rsidRPr="004773EB">
      <w:rPr>
        <w:rFonts w:ascii="Calibri Light" w:eastAsia="Times New Roman" w:hAnsi="Calibri Light" w:cs="Times New Roman"/>
        <w:sz w:val="20"/>
        <w:szCs w:val="20"/>
      </w:rPr>
      <w:t>2</w:t>
    </w:r>
    <w:r w:rsidRPr="004773EB">
      <w:rPr>
        <w:rFonts w:ascii="Calibri Light" w:eastAsia="Times New Roman" w:hAnsi="Calibri Light" w:cs="Times New Roman"/>
        <w:sz w:val="20"/>
        <w:szCs w:val="20"/>
      </w:rPr>
      <w:fldChar w:fldCharType="end"/>
    </w:r>
  </w:p>
  <w:p w14:paraId="098763E0" w14:textId="77777777" w:rsidR="009C1C4C" w:rsidRDefault="009C1C4C" w:rsidP="00670042">
    <w:pPr>
      <w:pStyle w:val="Stopka"/>
      <w:rPr>
        <w:rFonts w:cs="Times New Roman"/>
        <w:color w:val="000000"/>
        <w:sz w:val="20"/>
        <w:szCs w:val="20"/>
      </w:rPr>
    </w:pPr>
    <w:r w:rsidRPr="00670042">
      <w:rPr>
        <w:rFonts w:cs="Times New Roman"/>
        <w:color w:val="000000"/>
        <w:sz w:val="20"/>
        <w:szCs w:val="20"/>
      </w:rPr>
      <w:t xml:space="preserve">Młodzież (YOU) – Erasmus+ Mobilność edukacyjna (KA1) </w:t>
    </w:r>
  </w:p>
  <w:p w14:paraId="2A0F4A04" w14:textId="77777777" w:rsidR="009C1C4C" w:rsidRDefault="009C1C4C" w:rsidP="00670042">
    <w:pPr>
      <w:pStyle w:val="Stopka"/>
    </w:pPr>
    <w:r w:rsidRPr="00670042">
      <w:rPr>
        <w:rFonts w:cs="Times New Roman"/>
        <w:color w:val="000000"/>
        <w:sz w:val="20"/>
        <w:szCs w:val="20"/>
      </w:rPr>
      <w:t>http://erasmusplus.org.pl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7E27D" w14:textId="77777777" w:rsidR="009C1C4C" w:rsidRDefault="009C1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80809" w14:textId="77777777" w:rsidR="004D66AC" w:rsidRDefault="004D66AC">
      <w:pPr>
        <w:spacing w:after="0" w:line="240" w:lineRule="auto"/>
      </w:pPr>
      <w:r>
        <w:separator/>
      </w:r>
    </w:p>
  </w:footnote>
  <w:footnote w:type="continuationSeparator" w:id="0">
    <w:p w14:paraId="46A6AA77" w14:textId="77777777" w:rsidR="004D66AC" w:rsidRDefault="004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0CFF8" w14:textId="77777777" w:rsidR="009C1C4C" w:rsidRDefault="009C1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05C61" w14:textId="77777777" w:rsidR="009C1C4C" w:rsidRDefault="009C1C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CAA5F" w14:textId="77777777" w:rsidR="009C1C4C" w:rsidRDefault="009C1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5"/>
    <w:multiLevelType w:val="multilevel"/>
    <w:tmpl w:val="9DF2D108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6C12F03"/>
    <w:multiLevelType w:val="hybridMultilevel"/>
    <w:tmpl w:val="01F45CE4"/>
    <w:lvl w:ilvl="0" w:tplc="2BC44D24">
      <w:start w:val="3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7302"/>
    <w:multiLevelType w:val="hybridMultilevel"/>
    <w:tmpl w:val="92E2937A"/>
    <w:lvl w:ilvl="0" w:tplc="560EDCD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B2B36"/>
    <w:multiLevelType w:val="hybridMultilevel"/>
    <w:tmpl w:val="25940DBC"/>
    <w:lvl w:ilvl="0" w:tplc="CA827B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8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469131">
    <w:abstractNumId w:val="0"/>
  </w:num>
  <w:num w:numId="2" w16cid:durableId="27072871">
    <w:abstractNumId w:val="4"/>
  </w:num>
  <w:num w:numId="3" w16cid:durableId="1587499974">
    <w:abstractNumId w:val="3"/>
  </w:num>
  <w:num w:numId="4" w16cid:durableId="1277978396">
    <w:abstractNumId w:val="6"/>
  </w:num>
  <w:num w:numId="5" w16cid:durableId="495347084">
    <w:abstractNumId w:val="7"/>
  </w:num>
  <w:num w:numId="6" w16cid:durableId="1468280256">
    <w:abstractNumId w:val="5"/>
  </w:num>
  <w:num w:numId="7" w16cid:durableId="1226263576">
    <w:abstractNumId w:val="2"/>
  </w:num>
  <w:num w:numId="8" w16cid:durableId="945969187">
    <w:abstractNumId w:val="9"/>
  </w:num>
  <w:num w:numId="9" w16cid:durableId="1824468106">
    <w:abstractNumId w:val="8"/>
  </w:num>
  <w:num w:numId="10" w16cid:durableId="40561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EB"/>
    <w:rsid w:val="000E20C6"/>
    <w:rsid w:val="000E6ADE"/>
    <w:rsid w:val="002464F7"/>
    <w:rsid w:val="00276D0D"/>
    <w:rsid w:val="004773EB"/>
    <w:rsid w:val="004D66AC"/>
    <w:rsid w:val="00595076"/>
    <w:rsid w:val="005A1C1F"/>
    <w:rsid w:val="007754A0"/>
    <w:rsid w:val="008B6632"/>
    <w:rsid w:val="008D04F8"/>
    <w:rsid w:val="009C1C4C"/>
    <w:rsid w:val="00A05DE9"/>
    <w:rsid w:val="00AC01EA"/>
    <w:rsid w:val="00BF2114"/>
    <w:rsid w:val="00C41C53"/>
    <w:rsid w:val="00C55880"/>
    <w:rsid w:val="00C83170"/>
    <w:rsid w:val="00E06AC6"/>
    <w:rsid w:val="00FD592E"/>
    <w:rsid w:val="099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4850"/>
  <w15:chartTrackingRefBased/>
  <w15:docId w15:val="{879289F8-273E-4ABC-A848-2AA45F4B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73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3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73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73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73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73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73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73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73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73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3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73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73E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73E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73E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73E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73E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73E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773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7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73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73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773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773E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773E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773E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73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73E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773E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47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EB"/>
  </w:style>
  <w:style w:type="paragraph" w:styleId="Stopka">
    <w:name w:val="footer"/>
    <w:basedOn w:val="Normalny"/>
    <w:link w:val="StopkaZnak"/>
    <w:uiPriority w:val="99"/>
    <w:semiHidden/>
    <w:unhideWhenUsed/>
    <w:rsid w:val="0047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EB"/>
  </w:style>
  <w:style w:type="paragraph" w:styleId="Poprawka">
    <w:name w:val="Revision"/>
    <w:hidden/>
    <w:uiPriority w:val="99"/>
    <w:semiHidden/>
    <w:rsid w:val="008D04F8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Drzewicka</dc:creator>
  <cp:keywords/>
  <dc:description/>
  <cp:lastModifiedBy>Barbara Drzewicka</cp:lastModifiedBy>
  <cp:revision>2</cp:revision>
  <dcterms:created xsi:type="dcterms:W3CDTF">2024-05-22T10:30:00Z</dcterms:created>
  <dcterms:modified xsi:type="dcterms:W3CDTF">2024-05-22T10:30:00Z</dcterms:modified>
</cp:coreProperties>
</file>