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5906" w14:textId="6D7CA501" w:rsidR="00781E5A" w:rsidRDefault="00781E5A" w:rsidP="00DF1AD8">
      <w:pPr>
        <w:pStyle w:val="Annex"/>
        <w:spacing w:after="480"/>
        <w:ind w:left="0" w:firstLine="0"/>
        <w:jc w:val="center"/>
      </w:pPr>
      <w:bookmarkStart w:id="0" w:name="bookmark991"/>
      <w:bookmarkStart w:id="1" w:name="bookmark992"/>
      <w:bookmarkStart w:id="2" w:name="bookmark993"/>
      <w:r w:rsidRPr="00BA269E">
        <w:t>ZAŁĄCZNIK 2 – POSTANOWIENIA SZCZEGÓŁOWE</w:t>
      </w:r>
      <w:bookmarkEnd w:id="0"/>
      <w:bookmarkEnd w:id="1"/>
      <w:bookmarkEnd w:id="2"/>
    </w:p>
    <w:p w14:paraId="775368D7" w14:textId="77777777" w:rsidR="00DF1AD8" w:rsidRPr="00DF1AD8" w:rsidRDefault="00DF1AD8" w:rsidP="00DF1AD8">
      <w:pPr>
        <w:pStyle w:val="Annex"/>
        <w:spacing w:after="480"/>
        <w:ind w:left="0" w:firstLine="0"/>
        <w:jc w:val="center"/>
      </w:pPr>
    </w:p>
    <w:p w14:paraId="2ACE1176" w14:textId="571D30B1" w:rsidR="00781E5A" w:rsidRPr="00DF1AD8" w:rsidRDefault="00781E5A" w:rsidP="00781E5A">
      <w:pPr>
        <w:pStyle w:val="Nagwek1"/>
        <w:spacing w:before="200"/>
        <w:rPr>
          <w:bCs w:val="0"/>
        </w:rPr>
      </w:pPr>
      <w:bookmarkStart w:id="3" w:name="_Toc130557543"/>
      <w:bookmarkStart w:id="4" w:name="_Toc117591132"/>
      <w:bookmarkStart w:id="5" w:name="_Toc117674743"/>
      <w:bookmarkStart w:id="6" w:name="_Toc117696674"/>
      <w:bookmarkStart w:id="7" w:name="_Toc117699315"/>
      <w:bookmarkStart w:id="8" w:name="_Toc124769079"/>
      <w:bookmarkStart w:id="9" w:name="_Toc126757441"/>
      <w:r w:rsidRPr="00DF1AD8">
        <w:rPr>
          <w:bCs w:val="0"/>
        </w:rPr>
        <w:t>1. PODWYKONAWSTWO (</w:t>
      </w:r>
      <w:r w:rsidR="00DF1AD8" w:rsidRPr="00DF1AD8">
        <w:rPr>
          <w:bCs w:val="0"/>
        </w:rPr>
        <w:t>—</w:t>
      </w:r>
      <w:r w:rsidR="00DF1AD8">
        <w:rPr>
          <w:bCs w:val="0"/>
        </w:rPr>
        <w:t xml:space="preserve"> </w:t>
      </w:r>
      <w:r w:rsidRPr="00DF1AD8">
        <w:rPr>
          <w:bCs w:val="0"/>
        </w:rPr>
        <w:t>art. 9.3)</w:t>
      </w:r>
      <w:bookmarkEnd w:id="3"/>
    </w:p>
    <w:p w14:paraId="3E80A898" w14:textId="77777777" w:rsidR="00781E5A" w:rsidRPr="00A701C1" w:rsidRDefault="00781E5A" w:rsidP="00781E5A">
      <w:r w:rsidRPr="00A701C1">
        <w:t>Podwykonawstwo usług jest dozwolone, o ile nie obejmuje ono działalności podstawowej, od której bezpośrednio zależy osiągnięcie celów akcji.</w:t>
      </w:r>
    </w:p>
    <w:p w14:paraId="68D0A90E" w14:textId="77777777" w:rsidR="00781E5A" w:rsidRPr="00A701C1" w:rsidRDefault="00781E5A" w:rsidP="00781E5A"/>
    <w:p w14:paraId="27F2761F" w14:textId="77777777" w:rsidR="00781E5A" w:rsidRPr="00DF1AD8" w:rsidRDefault="00781E5A" w:rsidP="00781E5A">
      <w:pPr>
        <w:pStyle w:val="Nagwek1"/>
        <w:spacing w:before="200"/>
        <w:rPr>
          <w:rFonts w:ascii="Times New Roman" w:hAnsi="Times New Roman" w:cs="Times New Roman"/>
          <w:bCs w:val="0"/>
          <w:color w:val="000000" w:themeColor="text1"/>
          <w:szCs w:val="24"/>
        </w:rPr>
      </w:pPr>
      <w:bookmarkStart w:id="10" w:name="_Toc130557544"/>
      <w:r w:rsidRPr="00DF1AD8">
        <w:rPr>
          <w:rFonts w:ascii="Times New Roman" w:hAnsi="Times New Roman" w:cs="Times New Roman"/>
          <w:bCs w:val="0"/>
          <w:color w:val="000000" w:themeColor="text1"/>
          <w:szCs w:val="24"/>
        </w:rPr>
        <w:t>2. Ochrona danych (</w:t>
      </w:r>
      <w:bookmarkStart w:id="11" w:name="_Hlk169269115"/>
      <w:r w:rsidRPr="00DF1AD8">
        <w:rPr>
          <w:rFonts w:ascii="Times New Roman" w:hAnsi="Times New Roman" w:cs="Times New Roman"/>
          <w:bCs w:val="0"/>
          <w:color w:val="000000" w:themeColor="text1"/>
          <w:szCs w:val="24"/>
        </w:rPr>
        <w:t>—</w:t>
      </w:r>
      <w:bookmarkEnd w:id="11"/>
      <w:r w:rsidRPr="00DF1AD8">
        <w:rPr>
          <w:rFonts w:ascii="Times New Roman" w:hAnsi="Times New Roman" w:cs="Times New Roman"/>
          <w:bCs w:val="0"/>
          <w:color w:val="000000" w:themeColor="text1"/>
          <w:szCs w:val="24"/>
        </w:rPr>
        <w:t xml:space="preserve"> art. 15)</w:t>
      </w:r>
      <w:bookmarkEnd w:id="4"/>
      <w:bookmarkEnd w:id="5"/>
      <w:bookmarkEnd w:id="6"/>
      <w:bookmarkEnd w:id="7"/>
      <w:bookmarkEnd w:id="8"/>
      <w:bookmarkEnd w:id="9"/>
      <w:bookmarkEnd w:id="10"/>
    </w:p>
    <w:p w14:paraId="1BAA5CA7" w14:textId="77777777" w:rsidR="00781E5A" w:rsidRPr="00A701C1" w:rsidRDefault="00781E5A" w:rsidP="00781E5A">
      <w:pPr>
        <w:pStyle w:val="Nagwek2"/>
        <w:widowControl/>
        <w:spacing w:before="200" w:after="200"/>
        <w:ind w:left="1622" w:hanging="1622"/>
        <w:jc w:val="both"/>
        <w:rPr>
          <w:rFonts w:ascii="Times New Roman" w:hAnsi="Times New Roman" w:cs="Times New Roman"/>
          <w:b/>
          <w:bCs/>
          <w:smallCaps/>
          <w:color w:val="000000" w:themeColor="text1"/>
          <w:sz w:val="24"/>
          <w:szCs w:val="24"/>
          <w:u w:val="single"/>
        </w:rPr>
      </w:pPr>
      <w:bookmarkStart w:id="12" w:name="_Toc117699316"/>
      <w:bookmarkStart w:id="13" w:name="_Toc124769080"/>
      <w:bookmarkStart w:id="14" w:name="_Toc126757442"/>
      <w:bookmarkStart w:id="15" w:name="_Toc130557545"/>
      <w:r w:rsidRPr="00A701C1">
        <w:rPr>
          <w:rFonts w:ascii="Times New Roman" w:hAnsi="Times New Roman" w:cs="Times New Roman"/>
          <w:b/>
          <w:smallCaps/>
          <w:color w:val="000000" w:themeColor="text1"/>
          <w:sz w:val="24"/>
          <w:szCs w:val="24"/>
          <w:u w:val="single"/>
        </w:rPr>
        <w:t xml:space="preserve">2.1 </w:t>
      </w:r>
      <w:bookmarkEnd w:id="12"/>
      <w:bookmarkEnd w:id="13"/>
      <w:bookmarkEnd w:id="14"/>
      <w:bookmarkEnd w:id="15"/>
      <w:r w:rsidRPr="00A701C1">
        <w:rPr>
          <w:rStyle w:val="normaltextrun"/>
          <w:rFonts w:ascii="Times New Roman" w:hAnsi="Times New Roman" w:cs="Times New Roman"/>
          <w:b/>
          <w:bCs/>
          <w:smallCaps/>
          <w:color w:val="000000" w:themeColor="text1"/>
          <w:sz w:val="24"/>
          <w:szCs w:val="24"/>
          <w:u w:val="single"/>
          <w:shd w:val="clear" w:color="auto" w:fill="FFFFFF"/>
        </w:rPr>
        <w:t>Sprawozdawczość w zakresie wypełniania obowiązków dotyczących ochrony danych</w:t>
      </w:r>
    </w:p>
    <w:p w14:paraId="71B140E4" w14:textId="77777777" w:rsidR="00781E5A" w:rsidRPr="00A701C1" w:rsidRDefault="00781E5A" w:rsidP="00781E5A">
      <w:pPr>
        <w:suppressAutoHyphens/>
        <w:spacing w:after="200" w:line="276" w:lineRule="auto"/>
        <w:jc w:val="both"/>
        <w:rPr>
          <w:color w:val="000000" w:themeColor="text1"/>
        </w:rPr>
      </w:pPr>
      <w:r w:rsidRPr="00A701C1">
        <w:rPr>
          <w:rStyle w:val="normaltextrun"/>
          <w:rFonts w:eastAsiaTheme="majorEastAsia"/>
          <w:shd w:val="clear" w:color="auto" w:fill="FFFFFF"/>
        </w:rPr>
        <w:t xml:space="preserve">Beneficjenci zgłoszą w sprawozdaniu końcowym środki przedsięwzięte w celu zapewnienia zgodności swoich procesów przetwarzania danych z rozporządzeniem 2018/1725 zgodnie z obowiązkami określonymi w art. 15 przynajmniej w zakresie następujących tematów: </w:t>
      </w:r>
      <w:r w:rsidRPr="00A701C1">
        <w:rPr>
          <w:rStyle w:val="normaltextrun"/>
          <w:rFonts w:eastAsiaTheme="majorEastAsia"/>
          <w:color w:val="000000" w:themeColor="text1"/>
          <w:shd w:val="clear" w:color="auto" w:fill="FFFFFF"/>
        </w:rPr>
        <w:t>bezpieczeństwo przetwarzania danych, poufność przetwarzania danych, pomoc administratorowi danych, retencja danych, wkład w audyty, w tym inspekcje, prowadzenie rejestru kategorii czynności przetwarzania dokonywanych w imieniu administratora danych.</w:t>
      </w:r>
      <w:r w:rsidRPr="00A701C1">
        <w:rPr>
          <w:rStyle w:val="eop"/>
          <w:color w:val="000000" w:themeColor="text1"/>
          <w:shd w:val="clear" w:color="auto" w:fill="FFFFFF"/>
        </w:rPr>
        <w:t> </w:t>
      </w:r>
    </w:p>
    <w:p w14:paraId="38135CF2" w14:textId="1567AAD2" w:rsidR="00781E5A" w:rsidRPr="00DF1AD8" w:rsidRDefault="00781E5A" w:rsidP="00781E5A">
      <w:pPr>
        <w:pStyle w:val="Nagwek1"/>
        <w:ind w:left="0" w:firstLine="0"/>
      </w:pPr>
      <w:bookmarkStart w:id="16" w:name="bookmark1259"/>
      <w:bookmarkStart w:id="17" w:name="bookmark1260"/>
      <w:bookmarkStart w:id="18" w:name="bookmark1261"/>
      <w:bookmarkStart w:id="19" w:name="bookmark1262"/>
      <w:bookmarkStart w:id="20" w:name="bookmark1263"/>
      <w:bookmarkStart w:id="21" w:name="bookmark1264"/>
      <w:bookmarkStart w:id="22" w:name="bookmark1265"/>
      <w:bookmarkStart w:id="23" w:name="bookmark1266"/>
      <w:bookmarkStart w:id="24" w:name="bookmark1267"/>
      <w:bookmarkStart w:id="25" w:name="bookmark1271"/>
      <w:bookmarkStart w:id="26" w:name="bookmark1272"/>
      <w:bookmarkStart w:id="27" w:name="_Toc124769082"/>
      <w:bookmarkStart w:id="28" w:name="_Toc126757444"/>
      <w:bookmarkStart w:id="29" w:name="_Toc130557546"/>
      <w:bookmarkEnd w:id="16"/>
      <w:bookmarkEnd w:id="17"/>
      <w:bookmarkEnd w:id="18"/>
      <w:bookmarkEnd w:id="19"/>
      <w:bookmarkEnd w:id="20"/>
      <w:bookmarkEnd w:id="21"/>
      <w:bookmarkEnd w:id="22"/>
      <w:bookmarkEnd w:id="23"/>
      <w:bookmarkEnd w:id="24"/>
      <w:bookmarkEnd w:id="25"/>
      <w:bookmarkEnd w:id="26"/>
      <w:r w:rsidRPr="00DF1AD8">
        <w:t xml:space="preserve">3. </w:t>
      </w:r>
      <w:bookmarkEnd w:id="27"/>
      <w:bookmarkEnd w:id="28"/>
      <w:r w:rsidRPr="00DF1AD8">
        <w:t>PRAWA WŁASNOŚCI INTELEKTUALNEJ – PRAWA DOSTĘPU DO ISTNIEJĄCEJ WIEDZY I WYNIKÓW ORAZ DO KORZYSTANIA Z NICH</w:t>
      </w:r>
      <w:r w:rsidR="00DF1AD8">
        <w:br/>
      </w:r>
      <w:r w:rsidRPr="00DF1AD8">
        <w:t>(</w:t>
      </w:r>
      <w:r w:rsidR="00DF1AD8" w:rsidRPr="00DF1AD8">
        <w:t>—</w:t>
      </w:r>
      <w:r w:rsidRPr="00DF1AD8">
        <w:t>ART. 16)</w:t>
      </w:r>
      <w:bookmarkEnd w:id="29"/>
    </w:p>
    <w:p w14:paraId="59E17BF7"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30" w:name="_Toc117674745"/>
      <w:bookmarkStart w:id="31" w:name="_Toc117696676"/>
      <w:bookmarkStart w:id="32" w:name="_Toc124769083"/>
      <w:bookmarkStart w:id="33" w:name="_Toc126757445"/>
      <w:bookmarkStart w:id="34" w:name="_Toc130557547"/>
      <w:r w:rsidRPr="00A701C1">
        <w:rPr>
          <w:rFonts w:ascii="Times New Roman Bold" w:hAnsi="Times New Roman Bold"/>
          <w:b/>
          <w:smallCaps/>
          <w:color w:val="auto"/>
          <w:sz w:val="24"/>
          <w:u w:val="single"/>
        </w:rPr>
        <w:t>3.1 Wykaz wyjściowej własności intelektualnej</w:t>
      </w:r>
      <w:bookmarkEnd w:id="30"/>
      <w:bookmarkEnd w:id="31"/>
      <w:bookmarkEnd w:id="32"/>
      <w:bookmarkEnd w:id="33"/>
      <w:bookmarkEnd w:id="34"/>
      <w:r w:rsidRPr="00A701C1">
        <w:rPr>
          <w:rFonts w:ascii="Times New Roman Bold" w:hAnsi="Times New Roman Bold"/>
          <w:b/>
          <w:smallCaps/>
          <w:color w:val="auto"/>
          <w:sz w:val="24"/>
          <w:u w:val="single"/>
        </w:rPr>
        <w:t xml:space="preserve"> </w:t>
      </w:r>
    </w:p>
    <w:p w14:paraId="3A5D9A95" w14:textId="77777777" w:rsidR="00781E5A" w:rsidRPr="00A701C1" w:rsidRDefault="00781E5A" w:rsidP="00781E5A">
      <w:pPr>
        <w:suppressAutoHyphens/>
        <w:spacing w:after="200" w:line="276" w:lineRule="auto"/>
        <w:jc w:val="both"/>
      </w:pPr>
      <w:r w:rsidRPr="00A701C1">
        <w:t>W przypadku praw własności przemysłowej i intelektualnej (w tym praw osób trzecich) istniejących przed zawarciem umowy, beneficjenci muszą sporządzić wykaz tych wcześniej istniejących praw własności przemysłowej i intelektualnej, określając właścicieli praw.</w:t>
      </w:r>
    </w:p>
    <w:p w14:paraId="34001687" w14:textId="77777777" w:rsidR="00781E5A" w:rsidRPr="00A701C1" w:rsidRDefault="00781E5A" w:rsidP="00781E5A">
      <w:pPr>
        <w:suppressAutoHyphens/>
        <w:spacing w:after="200" w:line="276" w:lineRule="auto"/>
        <w:jc w:val="both"/>
      </w:pPr>
      <w:r w:rsidRPr="00A701C1">
        <w:t>Koordynator musi – przed rozpoczęciem działania – przedstawić ten wykaz organowi udzielającemu dotacji.</w:t>
      </w:r>
    </w:p>
    <w:p w14:paraId="026D0F1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35" w:name="_Toc117674747"/>
      <w:bookmarkStart w:id="36" w:name="_Toc117696678"/>
      <w:bookmarkStart w:id="37" w:name="_Toc117699321"/>
      <w:bookmarkStart w:id="38" w:name="_Toc124769084"/>
      <w:bookmarkStart w:id="39" w:name="_Toc126757446"/>
      <w:bookmarkStart w:id="40" w:name="_Toc130557548"/>
      <w:r w:rsidRPr="00A701C1">
        <w:rPr>
          <w:rFonts w:ascii="Times New Roman Bold" w:hAnsi="Times New Roman Bold"/>
          <w:b/>
          <w:smallCaps/>
          <w:color w:val="auto"/>
          <w:sz w:val="24"/>
          <w:u w:val="single"/>
        </w:rPr>
        <w:t>3.2 Materiały edukacyjne</w:t>
      </w:r>
      <w:bookmarkEnd w:id="35"/>
      <w:bookmarkEnd w:id="36"/>
      <w:bookmarkEnd w:id="37"/>
      <w:bookmarkEnd w:id="38"/>
      <w:bookmarkEnd w:id="39"/>
      <w:bookmarkEnd w:id="40"/>
    </w:p>
    <w:p w14:paraId="2CE7A05F" w14:textId="77777777" w:rsidR="00781E5A" w:rsidRPr="00A701C1" w:rsidRDefault="00781E5A" w:rsidP="00781E5A">
      <w:pPr>
        <w:suppressAutoHyphens/>
        <w:spacing w:after="200" w:line="276" w:lineRule="auto"/>
        <w:jc w:val="both"/>
      </w:pPr>
      <w:r w:rsidRPr="00A701C1">
        <w:t>Jeżeli beneficjenci produkują materiały edukacyjne w ramach projektu, materiały takie należy udostępniać za pośrednictwem Internetu, bezpłatnie oraz na licencjach otwartych</w:t>
      </w:r>
      <w:r w:rsidRPr="00A701C1">
        <w:rPr>
          <w:vertAlign w:val="superscript"/>
        </w:rPr>
        <w:footnoteReference w:id="1"/>
      </w:r>
      <w:r w:rsidRPr="00A701C1">
        <w:t>. Beneficjenci muszą zapewnić funkcjonowanie i aktualność wykorzystywanego adresu strony internetowej. Jeżeli web hosting nie jest już prowadzony, beneficjenci muszą usunąć stronę internetową z systemu rejestru organizacji, by uniknąć ryzyka przejęcia domeny przez osoby trzecie i przekierowania do innych stron internetowych. </w:t>
      </w:r>
    </w:p>
    <w:p w14:paraId="4D0021E6" w14:textId="6CE1B5DD" w:rsidR="00781E5A" w:rsidRPr="00A701C1" w:rsidRDefault="00781E5A" w:rsidP="00DF1AD8">
      <w:pPr>
        <w:pStyle w:val="Nagwek1"/>
        <w:ind w:left="426" w:hanging="426"/>
      </w:pPr>
      <w:bookmarkStart w:id="41" w:name="_Toc117591134"/>
      <w:bookmarkStart w:id="42" w:name="_Toc117674748"/>
      <w:bookmarkStart w:id="43" w:name="_Toc117696679"/>
      <w:bookmarkStart w:id="44" w:name="_Toc117699322"/>
      <w:bookmarkStart w:id="45" w:name="_Toc124769085"/>
      <w:bookmarkStart w:id="46" w:name="_Toc126757447"/>
      <w:bookmarkStart w:id="47" w:name="_Toc130557549"/>
      <w:r w:rsidRPr="00A701C1">
        <w:lastRenderedPageBreak/>
        <w:t>4. Komunikacja, rozpowszechnianie informacji i widoczność</w:t>
      </w:r>
      <w:r w:rsidR="00DF1AD8">
        <w:br/>
      </w:r>
      <w:r w:rsidRPr="00A701C1">
        <w:t>(</w:t>
      </w:r>
      <w:r w:rsidR="00DF1AD8" w:rsidRPr="00DF1AD8">
        <w:t>—</w:t>
      </w:r>
      <w:r w:rsidRPr="00A701C1">
        <w:t>art. 17.4)</w:t>
      </w:r>
      <w:bookmarkEnd w:id="41"/>
      <w:bookmarkEnd w:id="42"/>
      <w:bookmarkEnd w:id="43"/>
      <w:bookmarkEnd w:id="44"/>
      <w:bookmarkEnd w:id="45"/>
      <w:bookmarkEnd w:id="46"/>
      <w:bookmarkEnd w:id="47"/>
    </w:p>
    <w:p w14:paraId="192146AE" w14:textId="77777777" w:rsidR="00781E5A" w:rsidRPr="00A701C1" w:rsidRDefault="00781E5A" w:rsidP="00781E5A">
      <w:pPr>
        <w:suppressAutoHyphens/>
        <w:spacing w:after="200" w:line="276" w:lineRule="auto"/>
        <w:jc w:val="both"/>
        <w:rPr>
          <w:rFonts w:eastAsia="Calibri"/>
        </w:rPr>
      </w:pPr>
      <w:r w:rsidRPr="00A701C1">
        <w:t>Beneficjenci informują o otrzymaniu wsparcia w ramach programu Erasmus+ we wszelkiej korespondencji i materiałach promocyjnych, również na stronach internetowych i w mediach społecznościowych.</w:t>
      </w:r>
    </w:p>
    <w:p w14:paraId="2CA137AF" w14:textId="77777777" w:rsidR="00781E5A" w:rsidRPr="00A701C1" w:rsidRDefault="00781E5A" w:rsidP="00781E5A">
      <w:pPr>
        <w:rPr>
          <w:rStyle w:val="Hipercze"/>
        </w:rPr>
      </w:pPr>
      <w:r w:rsidRPr="00A701C1">
        <w:t xml:space="preserve">Wytyczne dla beneficjenta i osób trzecich są dostępne pod adresem: </w:t>
      </w:r>
    </w:p>
    <w:p w14:paraId="3FE21070" w14:textId="77777777" w:rsidR="00781E5A" w:rsidRPr="00A701C1" w:rsidRDefault="008C48F0" w:rsidP="00781E5A">
      <w:pPr>
        <w:jc w:val="both"/>
        <w:rPr>
          <w:color w:val="0070C0"/>
          <w:lang w:val="it-IT"/>
        </w:rPr>
      </w:pPr>
      <w:hyperlink r:id="rId7" w:history="1">
        <w:r w:rsidR="00781E5A" w:rsidRPr="00A701C1">
          <w:rPr>
            <w:rStyle w:val="Hipercze"/>
            <w:rFonts w:eastAsiaTheme="majorEastAsia"/>
            <w:color w:val="0070C0"/>
            <w:lang w:val="it-IT"/>
          </w:rPr>
          <w:t>https://commission.europa.eu/funding-tenders/managing-your-project/communicating-and-raising-eu-visibility_en</w:t>
        </w:r>
      </w:hyperlink>
      <w:r w:rsidR="00781E5A" w:rsidRPr="00A701C1">
        <w:rPr>
          <w:color w:val="0070C0"/>
          <w:lang w:val="it-IT"/>
        </w:rPr>
        <w:t xml:space="preserve"> </w:t>
      </w:r>
    </w:p>
    <w:p w14:paraId="5E9D66B0"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48" w:name="_Toc117674749"/>
      <w:bookmarkStart w:id="49" w:name="_Toc117696680"/>
      <w:bookmarkStart w:id="50" w:name="_Toc117699323"/>
      <w:bookmarkStart w:id="51" w:name="_Toc124769086"/>
      <w:bookmarkStart w:id="52" w:name="_Toc126757448"/>
      <w:bookmarkStart w:id="53" w:name="_Toc130557550"/>
      <w:r w:rsidRPr="00A701C1">
        <w:rPr>
          <w:rFonts w:ascii="Times New Roman Bold" w:hAnsi="Times New Roman Bold"/>
          <w:b/>
          <w:smallCaps/>
          <w:color w:val="auto"/>
          <w:sz w:val="24"/>
          <w:u w:val="single"/>
        </w:rPr>
        <w:t>4.1 Platforma Rezultatów Programu Erasmus+</w:t>
      </w:r>
      <w:bookmarkEnd w:id="48"/>
      <w:bookmarkEnd w:id="49"/>
      <w:bookmarkEnd w:id="50"/>
      <w:bookmarkEnd w:id="51"/>
      <w:bookmarkEnd w:id="52"/>
      <w:bookmarkEnd w:id="53"/>
    </w:p>
    <w:p w14:paraId="57794B26" w14:textId="362B801B" w:rsidR="00781E5A" w:rsidRPr="00A701C1" w:rsidRDefault="00781E5A" w:rsidP="00781E5A">
      <w:pPr>
        <w:jc w:val="both"/>
      </w:pPr>
      <w:r>
        <w:t xml:space="preserve">Koordynator musi udostępnić wyniki projektu na Platformie Rezultatów Programu Erasmus+ </w:t>
      </w:r>
      <w:r w:rsidRPr="00D04D4C">
        <w:rPr>
          <w:highlight w:val="yellow"/>
        </w:rPr>
        <w:t>(</w:t>
      </w:r>
      <w:r w:rsidRPr="00D04D4C">
        <w:rPr>
          <w:rStyle w:val="Hipercze"/>
          <w:highlight w:val="yellow"/>
        </w:rPr>
        <w:t>http</w:t>
      </w:r>
      <w:r w:rsidR="375FF2E0" w:rsidRPr="00D04D4C">
        <w:rPr>
          <w:rStyle w:val="Hipercze"/>
          <w:highlight w:val="yellow"/>
        </w:rPr>
        <w:t>s</w:t>
      </w:r>
      <w:r w:rsidRPr="00D04D4C">
        <w:rPr>
          <w:rStyle w:val="Hipercze"/>
          <w:highlight w:val="yellow"/>
        </w:rPr>
        <w:t>:</w:t>
      </w:r>
      <w:r w:rsidRPr="2B77F33E">
        <w:rPr>
          <w:rStyle w:val="Hipercze"/>
        </w:rPr>
        <w:t>//ec.europa.eu/programmes/erasmus-plus/projects</w:t>
      </w:r>
      <w:r>
        <w:t xml:space="preserve">). </w:t>
      </w:r>
    </w:p>
    <w:p w14:paraId="6344C925" w14:textId="77777777" w:rsidR="00781E5A" w:rsidRPr="00A701C1" w:rsidRDefault="00781E5A" w:rsidP="00781E5A">
      <w:pPr>
        <w:jc w:val="both"/>
        <w:rPr>
          <w:b/>
          <w:u w:val="single"/>
          <w:shd w:val="clear" w:color="auto" w:fill="00FFFF"/>
        </w:rPr>
      </w:pPr>
    </w:p>
    <w:p w14:paraId="60E57033" w14:textId="13E9F6A1" w:rsidR="00781E5A" w:rsidRPr="00A701C1" w:rsidRDefault="00781E5A" w:rsidP="00DF1AD8">
      <w:pPr>
        <w:pStyle w:val="Nagwek1"/>
        <w:ind w:left="284" w:hanging="284"/>
      </w:pPr>
      <w:bookmarkStart w:id="54" w:name="bookmark1279"/>
      <w:bookmarkStart w:id="55" w:name="bookmark1280"/>
      <w:bookmarkStart w:id="56" w:name="bookmark1281"/>
      <w:bookmarkStart w:id="57" w:name="_Toc124769087"/>
      <w:bookmarkStart w:id="58" w:name="_Toc126757449"/>
      <w:bookmarkStart w:id="59" w:name="_Toc130557551"/>
      <w:bookmarkEnd w:id="54"/>
      <w:bookmarkEnd w:id="55"/>
      <w:bookmarkEnd w:id="56"/>
      <w:r w:rsidRPr="00A701C1">
        <w:t>5. Postanowienia szczegółowe dotyczące realizacji działania</w:t>
      </w:r>
      <w:r w:rsidR="00DF1AD8">
        <w:br/>
      </w:r>
      <w:r w:rsidRPr="00A701C1">
        <w:t xml:space="preserve">( </w:t>
      </w:r>
      <w:r w:rsidR="00DF1AD8" w:rsidRPr="00DF1AD8">
        <w:t>—</w:t>
      </w:r>
      <w:r w:rsidR="00DF1AD8">
        <w:t xml:space="preserve"> </w:t>
      </w:r>
      <w:r w:rsidRPr="00A701C1">
        <w:t>art. 18)</w:t>
      </w:r>
      <w:bookmarkEnd w:id="57"/>
      <w:bookmarkEnd w:id="58"/>
      <w:bookmarkEnd w:id="59"/>
    </w:p>
    <w:p w14:paraId="5D0E339C"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0" w:name="_Toc124769088"/>
      <w:bookmarkStart w:id="61" w:name="_Toc126757450"/>
      <w:bookmarkStart w:id="62" w:name="_Toc130557552"/>
      <w:r w:rsidRPr="00A701C1">
        <w:rPr>
          <w:rFonts w:ascii="Times New Roman Bold" w:hAnsi="Times New Roman Bold"/>
          <w:b/>
          <w:smallCaps/>
          <w:color w:val="auto"/>
          <w:sz w:val="24"/>
          <w:u w:val="single"/>
        </w:rPr>
        <w:t>5.1 Unijne środki ograniczające</w:t>
      </w:r>
      <w:bookmarkEnd w:id="60"/>
      <w:bookmarkEnd w:id="61"/>
      <w:bookmarkEnd w:id="62"/>
    </w:p>
    <w:p w14:paraId="04DED4C5" w14:textId="77777777" w:rsidR="00781E5A" w:rsidRPr="00A701C1" w:rsidRDefault="00781E5A" w:rsidP="00781E5A">
      <w:pPr>
        <w:suppressAutoHyphens/>
        <w:spacing w:after="180" w:line="276" w:lineRule="auto"/>
        <w:jc w:val="both"/>
        <w:rPr>
          <w:rFonts w:eastAsia="Calibri"/>
        </w:rPr>
      </w:pPr>
      <w:r w:rsidRPr="00A701C1">
        <w:t>Beneficjenci muszą zapewnić, aby dotacja UE nie przynosiła korzyści żadnym podmiotom powiązanym,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73954F06" w14:textId="5D97A3E6" w:rsidR="00781E5A" w:rsidRPr="00A701C1" w:rsidRDefault="00781E5A" w:rsidP="00781E5A">
      <w:pPr>
        <w:pStyle w:val="Nagwek1"/>
        <w:ind w:left="0" w:firstLine="0"/>
      </w:pPr>
      <w:bookmarkStart w:id="63" w:name="_Toc124769090"/>
      <w:bookmarkStart w:id="64" w:name="_Toc126757452"/>
      <w:bookmarkStart w:id="65" w:name="_Toc130557553"/>
      <w:r w:rsidRPr="00A701C1">
        <w:t>6. Sprawozdawczość (</w:t>
      </w:r>
      <w:r w:rsidR="00DF1AD8" w:rsidRPr="00DF1AD8">
        <w:t>—</w:t>
      </w:r>
      <w:r w:rsidR="00DF1AD8">
        <w:t xml:space="preserve"> </w:t>
      </w:r>
      <w:r w:rsidRPr="00A701C1">
        <w:t>art. 21)</w:t>
      </w:r>
      <w:bookmarkEnd w:id="63"/>
      <w:bookmarkEnd w:id="64"/>
      <w:bookmarkEnd w:id="65"/>
    </w:p>
    <w:p w14:paraId="420581A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6" w:name="_Toc124769091"/>
      <w:bookmarkStart w:id="67" w:name="_Toc126757453"/>
      <w:bookmarkStart w:id="68" w:name="_Toc130557554"/>
      <w:r w:rsidRPr="00A701C1">
        <w:rPr>
          <w:rFonts w:ascii="Times New Roman Bold" w:hAnsi="Times New Roman Bold"/>
          <w:b/>
          <w:smallCaps/>
          <w:color w:val="auto"/>
          <w:sz w:val="24"/>
          <w:u w:val="single"/>
        </w:rPr>
        <w:t>6.1 Narzędzie sprawozdawczości i zarządzania Erasmus+</w:t>
      </w:r>
      <w:bookmarkEnd w:id="66"/>
      <w:bookmarkEnd w:id="67"/>
      <w:bookmarkEnd w:id="68"/>
    </w:p>
    <w:p w14:paraId="684ADF6B" w14:textId="77777777" w:rsidR="00781E5A" w:rsidRPr="00A701C1" w:rsidRDefault="00781E5A" w:rsidP="00781E5A">
      <w:pPr>
        <w:suppressAutoHyphens/>
        <w:spacing w:after="200" w:line="276" w:lineRule="auto"/>
        <w:jc w:val="both"/>
        <w:rPr>
          <w:rFonts w:eastAsia="Calibri"/>
        </w:rPr>
      </w:pPr>
      <w:r w:rsidRPr="00A701C1">
        <w:t>Koordynator musi korzystać z internetowego narzędzia sprawozdawczości i zarządzania udostępnionego przez Komisję Europejską w celu rejestrowania wszelkich informacji mających związek z działaniami podjętymi w ramach projektu (w tym działaniami, które nie otrzymały bezpośredniego wsparcia w formie dotacji ze środków UE) oraz sporządzenia i przedłożenia sprawozdania (sprawozdań) z postępów prac, sprawozdania okresowego (sprawozdań okresowych) (jeżeli jest ono / są one dostępne w narzędziu sprawozdawczości i zarządzania Erasmus+ oraz w przypadkach określonych w art. 21.2) oraz sprawozdania końcowego.</w:t>
      </w:r>
    </w:p>
    <w:p w14:paraId="1B69F539"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9" w:name="_Toc529785734"/>
      <w:bookmarkStart w:id="70" w:name="_Toc529786067"/>
      <w:bookmarkStart w:id="71" w:name="_Toc529785735"/>
      <w:bookmarkStart w:id="72" w:name="_Toc529786068"/>
      <w:bookmarkStart w:id="73" w:name="_Toc529785736"/>
      <w:bookmarkStart w:id="74" w:name="_Toc529786069"/>
      <w:bookmarkStart w:id="75" w:name="_Toc529785737"/>
      <w:bookmarkStart w:id="76" w:name="_Toc529786070"/>
      <w:bookmarkStart w:id="77" w:name="_Toc529785738"/>
      <w:bookmarkStart w:id="78" w:name="_Toc529786071"/>
      <w:bookmarkStart w:id="79" w:name="_Toc102463255"/>
      <w:bookmarkStart w:id="80" w:name="_Toc117699328"/>
      <w:bookmarkStart w:id="81" w:name="_Toc124769092"/>
      <w:bookmarkStart w:id="82" w:name="_Toc126757454"/>
      <w:bookmarkStart w:id="83" w:name="_Toc130557555"/>
      <w:bookmarkStart w:id="84" w:name="_Toc117674754"/>
      <w:bookmarkEnd w:id="69"/>
      <w:bookmarkEnd w:id="70"/>
      <w:bookmarkEnd w:id="71"/>
      <w:bookmarkEnd w:id="72"/>
      <w:bookmarkEnd w:id="73"/>
      <w:bookmarkEnd w:id="74"/>
      <w:bookmarkEnd w:id="75"/>
      <w:bookmarkEnd w:id="76"/>
      <w:bookmarkEnd w:id="77"/>
      <w:bookmarkEnd w:id="78"/>
      <w:bookmarkEnd w:id="79"/>
      <w:r w:rsidRPr="00A701C1">
        <w:rPr>
          <w:rFonts w:ascii="Times New Roman Bold" w:hAnsi="Times New Roman Bold"/>
          <w:b/>
          <w:smallCaps/>
          <w:color w:val="auto"/>
          <w:sz w:val="24"/>
          <w:u w:val="single"/>
        </w:rPr>
        <w:t>6.2 Sprawozdanie okresowe i sprawozdanie z postępu prac</w:t>
      </w:r>
      <w:bookmarkEnd w:id="80"/>
      <w:bookmarkEnd w:id="81"/>
      <w:bookmarkEnd w:id="82"/>
      <w:bookmarkEnd w:id="83"/>
    </w:p>
    <w:p w14:paraId="4AF14E05" w14:textId="0F2ADCE6" w:rsidR="00781E5A" w:rsidRPr="00A701C1" w:rsidRDefault="00781E5A" w:rsidP="00781E5A">
      <w:pPr>
        <w:suppressAutoHyphens/>
        <w:spacing w:after="200" w:line="276" w:lineRule="auto"/>
        <w:jc w:val="both"/>
        <w:rPr>
          <w:rFonts w:eastAsia="Calibri"/>
        </w:rPr>
      </w:pPr>
      <w:r w:rsidRPr="00A701C1">
        <w:t xml:space="preserve">Sprawozdanie okresowe i sprawozdanie z postępu prac zawierają część </w:t>
      </w:r>
      <w:r w:rsidR="005E0397">
        <w:t>techniczną (rzeczywistą)</w:t>
      </w:r>
      <w:r w:rsidRPr="00A701C1">
        <w:t>.</w:t>
      </w:r>
    </w:p>
    <w:p w14:paraId="264AE624" w14:textId="2D23D9E4" w:rsidR="00781E5A" w:rsidRPr="00A701C1" w:rsidRDefault="00781E5A" w:rsidP="00781E5A">
      <w:pPr>
        <w:suppressAutoHyphens/>
        <w:spacing w:after="200" w:line="276" w:lineRule="auto"/>
        <w:jc w:val="both"/>
        <w:rPr>
          <w:rFonts w:eastAsia="Calibri"/>
        </w:rPr>
      </w:pPr>
      <w:r>
        <w:t xml:space="preserve">Część </w:t>
      </w:r>
      <w:r w:rsidR="00DF1AD8">
        <w:t xml:space="preserve">techniczna (rzeczywista) </w:t>
      </w:r>
      <w:r>
        <w:t>obejmuje opis dotyczący realizacji działania. Należy ją przygotować w oparciu o ewentualny wzór</w:t>
      </w:r>
      <w:r w:rsidR="00DF1AD8">
        <w:t xml:space="preserve"> dostępny w narzędziu sprawozdawczości i zarządzania Erasmus+</w:t>
      </w:r>
      <w:r>
        <w:t xml:space="preserve">. </w:t>
      </w:r>
    </w:p>
    <w:p w14:paraId="226BC221" w14:textId="536ABD7E" w:rsidR="00781E5A" w:rsidRPr="00A701C1" w:rsidRDefault="00781E5A" w:rsidP="00781E5A">
      <w:pPr>
        <w:suppressAutoHyphens/>
        <w:spacing w:after="200" w:line="276" w:lineRule="auto"/>
        <w:jc w:val="both"/>
        <w:rPr>
          <w:rFonts w:eastAsia="Calibri"/>
        </w:rPr>
      </w:pPr>
      <w:r w:rsidRPr="00A701C1">
        <w:t xml:space="preserve">Przez podpisanie sprawozdania </w:t>
      </w:r>
      <w:r w:rsidR="00F77555">
        <w:t>technicznego (rzeczywistego)</w:t>
      </w:r>
      <w:r w:rsidR="00F77555" w:rsidRPr="00A701C1">
        <w:t xml:space="preserve"> </w:t>
      </w:r>
      <w:r w:rsidRPr="00A701C1">
        <w:t>beneficjenci potwierdzają, że przekazane informacje są kompletne, wiarygodne i prawdziwe.</w:t>
      </w:r>
    </w:p>
    <w:p w14:paraId="1B0337AB" w14:textId="40F4776B" w:rsidR="00781E5A" w:rsidRPr="00A701C1" w:rsidRDefault="00781E5A" w:rsidP="00781E5A">
      <w:pPr>
        <w:suppressAutoHyphens/>
        <w:spacing w:after="200" w:line="276" w:lineRule="auto"/>
        <w:jc w:val="both"/>
        <w:rPr>
          <w:rFonts w:eastAsia="Calibri"/>
        </w:rPr>
      </w:pPr>
      <w:r w:rsidRPr="00A701C1">
        <w:lastRenderedPageBreak/>
        <w:t xml:space="preserve">W przypadku sprawozdania okresowego, oprócz części </w:t>
      </w:r>
      <w:r w:rsidR="00F77555">
        <w:t>technicznej (rzeczywistej)</w:t>
      </w:r>
      <w:r w:rsidRPr="00A701C1">
        <w:t>, należy przedstawić sprawozdanie finansowe.</w:t>
      </w:r>
    </w:p>
    <w:p w14:paraId="657B602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85" w:name="_Toc117696685"/>
      <w:bookmarkStart w:id="86" w:name="_Toc117699329"/>
      <w:bookmarkStart w:id="87" w:name="_Toc124769093"/>
      <w:bookmarkStart w:id="88" w:name="_Toc126757455"/>
      <w:bookmarkStart w:id="89" w:name="_Toc130557556"/>
      <w:r w:rsidRPr="00A701C1">
        <w:rPr>
          <w:rFonts w:ascii="Times New Roman Bold" w:hAnsi="Times New Roman Bold"/>
          <w:b/>
          <w:smallCaps/>
          <w:color w:val="auto"/>
          <w:sz w:val="24"/>
          <w:u w:val="single"/>
        </w:rPr>
        <w:t>6.3 Sprawozdanie końcowe</w:t>
      </w:r>
      <w:bookmarkEnd w:id="84"/>
      <w:bookmarkEnd w:id="85"/>
      <w:bookmarkEnd w:id="86"/>
      <w:bookmarkEnd w:id="87"/>
      <w:bookmarkEnd w:id="88"/>
      <w:bookmarkEnd w:id="89"/>
    </w:p>
    <w:p w14:paraId="4923B6FE" w14:textId="3579FFDF" w:rsidR="00781E5A" w:rsidRPr="00A701C1" w:rsidRDefault="00781E5A" w:rsidP="00781E5A">
      <w:pPr>
        <w:suppressAutoHyphens/>
        <w:spacing w:after="200" w:line="276" w:lineRule="auto"/>
        <w:jc w:val="both"/>
        <w:rPr>
          <w:rFonts w:eastAsia="Calibri"/>
        </w:rPr>
      </w:pPr>
      <w:r w:rsidRPr="00A701C1">
        <w:t xml:space="preserve">Sprawozdanie końcowe zawiera również część </w:t>
      </w:r>
      <w:r w:rsidR="00CE5AE6">
        <w:t>techniczną (rzeczywistą)</w:t>
      </w:r>
      <w:r w:rsidRPr="00A701C1">
        <w:t>.</w:t>
      </w:r>
    </w:p>
    <w:p w14:paraId="7A30026A" w14:textId="24E76CFC" w:rsidR="00781E5A" w:rsidRPr="00A701C1" w:rsidRDefault="00781E5A" w:rsidP="00781E5A">
      <w:pPr>
        <w:suppressAutoHyphens/>
        <w:spacing w:after="200" w:line="276" w:lineRule="auto"/>
        <w:jc w:val="both"/>
        <w:rPr>
          <w:rFonts w:eastAsia="Calibri"/>
        </w:rPr>
      </w:pPr>
      <w:r w:rsidRPr="00A701C1">
        <w:t xml:space="preserve">Część </w:t>
      </w:r>
      <w:r w:rsidR="00CE5AE6">
        <w:t>techniczna (rzeczywista)</w:t>
      </w:r>
      <w:r w:rsidR="00CE5AE6" w:rsidRPr="00A701C1">
        <w:t xml:space="preserve"> </w:t>
      </w:r>
      <w:r w:rsidRPr="00A701C1">
        <w:t xml:space="preserve">obejmuje opis dotyczący realizacji działania i osiągniętych wyników. Należy ją przygotować w oparciu o wzór </w:t>
      </w:r>
      <w:r w:rsidR="00DF1AD8" w:rsidRPr="00DF1AD8">
        <w:t>dostępny w narzędziu sprawozdawczości i zarządzania Erasmus+</w:t>
      </w:r>
      <w:r w:rsidRPr="00A701C1">
        <w:t xml:space="preserve">. </w:t>
      </w:r>
    </w:p>
    <w:p w14:paraId="1ED99C0A" w14:textId="77777777" w:rsidR="00781E5A" w:rsidRPr="00A701C1" w:rsidRDefault="00781E5A" w:rsidP="00781E5A">
      <w:pPr>
        <w:suppressAutoHyphens/>
        <w:spacing w:after="200" w:line="276" w:lineRule="auto"/>
        <w:jc w:val="both"/>
        <w:rPr>
          <w:rFonts w:eastAsia="Calibri"/>
        </w:rPr>
      </w:pPr>
      <w:r w:rsidRPr="00A701C1">
        <w:t>Przez podpisanie sprawozdania końcowego beneficjenci potwierdzają, że przekazane informacje są kompletne, wiarygodne i prawdziwe.</w:t>
      </w:r>
    </w:p>
    <w:p w14:paraId="1D43E51B"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90" w:name="_Toc124769094"/>
      <w:bookmarkStart w:id="91" w:name="_Toc126757456"/>
      <w:bookmarkStart w:id="92" w:name="_Toc130557557"/>
      <w:r w:rsidRPr="00A701C1">
        <w:rPr>
          <w:rFonts w:ascii="Times New Roman Bold" w:hAnsi="Times New Roman Bold"/>
          <w:b/>
          <w:smallCaps/>
          <w:color w:val="auto"/>
          <w:sz w:val="24"/>
          <w:u w:val="single"/>
        </w:rPr>
        <w:t>6.4 Ocena sprawozdania końcowego</w:t>
      </w:r>
      <w:bookmarkEnd w:id="90"/>
      <w:bookmarkEnd w:id="91"/>
      <w:bookmarkEnd w:id="92"/>
    </w:p>
    <w:p w14:paraId="50B8FC7F" w14:textId="5D4CD26B" w:rsidR="00781E5A" w:rsidRPr="00A701C1" w:rsidRDefault="00781E5A" w:rsidP="00781E5A">
      <w:pPr>
        <w:jc w:val="both"/>
      </w:pPr>
      <w:r w:rsidRPr="00A701C1">
        <w:t xml:space="preserve">Sprawozdanie końcowe zostaje ocenione w oparciu o kryteria jakościowe w skali do 100 punktów. Agencja </w:t>
      </w:r>
      <w:r w:rsidR="00D12EB8">
        <w:t>n</w:t>
      </w:r>
      <w:r w:rsidRPr="00A701C1">
        <w:t>arodowa ocenia sprawozdanie końcowe i wyniki projektu w oparciu o wspólny zbiór kryteriów jakościowych koncentrujących się na:</w:t>
      </w:r>
    </w:p>
    <w:p w14:paraId="63BB7D1C" w14:textId="77777777" w:rsidR="00781E5A" w:rsidRPr="00A701C1" w:rsidRDefault="00781E5A" w:rsidP="00781E5A">
      <w:pPr>
        <w:jc w:val="both"/>
      </w:pPr>
    </w:p>
    <w:p w14:paraId="2ABB875F" w14:textId="77777777" w:rsidR="00781E5A" w:rsidRPr="00A701C1" w:rsidRDefault="00781E5A" w:rsidP="00781E5A">
      <w:pPr>
        <w:widowControl/>
        <w:numPr>
          <w:ilvl w:val="1"/>
          <w:numId w:val="1"/>
        </w:numPr>
        <w:suppressAutoHyphens/>
        <w:spacing w:line="276" w:lineRule="auto"/>
        <w:jc w:val="both"/>
      </w:pPr>
      <w:r w:rsidRPr="00A701C1">
        <w:t>stopniu, w jakim projekt został zrealizowany zgodnie z zatwierdzonym wnioskiem o dotację;</w:t>
      </w:r>
    </w:p>
    <w:p w14:paraId="77450613" w14:textId="77777777" w:rsidR="00781E5A" w:rsidRPr="00A701C1" w:rsidRDefault="00781E5A" w:rsidP="00781E5A">
      <w:pPr>
        <w:widowControl/>
        <w:numPr>
          <w:ilvl w:val="1"/>
          <w:numId w:val="1"/>
        </w:numPr>
        <w:suppressAutoHyphens/>
        <w:spacing w:line="276" w:lineRule="auto"/>
        <w:jc w:val="both"/>
      </w:pPr>
      <w:r w:rsidRPr="00A701C1">
        <w:t>jakości podejmowanych działań i ich zgodności z celami projektu;</w:t>
      </w:r>
    </w:p>
    <w:p w14:paraId="2E06FA71" w14:textId="77777777" w:rsidR="00781E5A" w:rsidRPr="00A701C1" w:rsidRDefault="00781E5A" w:rsidP="00781E5A">
      <w:pPr>
        <w:widowControl/>
        <w:numPr>
          <w:ilvl w:val="1"/>
          <w:numId w:val="1"/>
        </w:numPr>
        <w:suppressAutoHyphens/>
        <w:spacing w:line="276" w:lineRule="auto"/>
        <w:jc w:val="both"/>
      </w:pPr>
      <w:r w:rsidRPr="00A701C1">
        <w:t xml:space="preserve">jakości uzyskanych produktów i wyników; </w:t>
      </w:r>
    </w:p>
    <w:p w14:paraId="5CC29E7C" w14:textId="77777777" w:rsidR="00781E5A" w:rsidRPr="00A701C1" w:rsidRDefault="00781E5A" w:rsidP="00781E5A">
      <w:pPr>
        <w:widowControl/>
        <w:numPr>
          <w:ilvl w:val="1"/>
          <w:numId w:val="1"/>
        </w:numPr>
        <w:suppressAutoHyphens/>
        <w:spacing w:line="276" w:lineRule="auto"/>
        <w:jc w:val="both"/>
      </w:pPr>
      <w:r w:rsidRPr="00A701C1">
        <w:t>jakości efektów uczenia się i ich wpływie na uczestników;</w:t>
      </w:r>
    </w:p>
    <w:p w14:paraId="3146E84B" w14:textId="77777777" w:rsidR="00781E5A" w:rsidRPr="00A701C1" w:rsidRDefault="00781E5A" w:rsidP="00781E5A">
      <w:pPr>
        <w:widowControl/>
        <w:numPr>
          <w:ilvl w:val="1"/>
          <w:numId w:val="1"/>
        </w:numPr>
        <w:suppressAutoHyphens/>
        <w:spacing w:line="276" w:lineRule="auto"/>
        <w:jc w:val="both"/>
      </w:pPr>
      <w:r w:rsidRPr="00A701C1">
        <w:t xml:space="preserve">stopniu, w jakim projekt okazał się innowacyjny/uzupełniający względem innych inicjatyw; </w:t>
      </w:r>
    </w:p>
    <w:p w14:paraId="084A58A5" w14:textId="77777777" w:rsidR="00781E5A" w:rsidRPr="00A701C1" w:rsidRDefault="00781E5A" w:rsidP="00781E5A">
      <w:pPr>
        <w:widowControl/>
        <w:numPr>
          <w:ilvl w:val="1"/>
          <w:numId w:val="1"/>
        </w:numPr>
        <w:suppressAutoHyphens/>
        <w:spacing w:line="276" w:lineRule="auto"/>
        <w:jc w:val="both"/>
      </w:pPr>
      <w:r w:rsidRPr="00A701C1">
        <w:t xml:space="preserve">stopniu, w jakim projekt wniósł wartość dodaną na szczeblu UE; </w:t>
      </w:r>
    </w:p>
    <w:p w14:paraId="27376BCA" w14:textId="77777777" w:rsidR="00781E5A" w:rsidRPr="00A701C1" w:rsidRDefault="00781E5A" w:rsidP="00781E5A">
      <w:pPr>
        <w:widowControl/>
        <w:numPr>
          <w:ilvl w:val="1"/>
          <w:numId w:val="1"/>
        </w:numPr>
        <w:suppressAutoHyphens/>
        <w:spacing w:line="276" w:lineRule="auto"/>
        <w:jc w:val="both"/>
      </w:pPr>
      <w:r w:rsidRPr="00A701C1">
        <w:t>stopniu, w jakim w ramach projektu wdrożono skuteczne środki dotyczące jakości oraz środki zapewniające możliwość ocenienia wyników projektu;</w:t>
      </w:r>
    </w:p>
    <w:p w14:paraId="142EE08E" w14:textId="77777777" w:rsidR="00781E5A" w:rsidRPr="00A701C1" w:rsidRDefault="00781E5A" w:rsidP="00781E5A">
      <w:pPr>
        <w:widowControl/>
        <w:numPr>
          <w:ilvl w:val="1"/>
          <w:numId w:val="1"/>
        </w:numPr>
        <w:suppressAutoHyphens/>
        <w:spacing w:line="276" w:lineRule="auto"/>
        <w:jc w:val="both"/>
      </w:pPr>
      <w:r w:rsidRPr="00A701C1">
        <w:t>wpływie na organizacje uczestniczące;</w:t>
      </w:r>
    </w:p>
    <w:p w14:paraId="65695597" w14:textId="77777777" w:rsidR="00781E5A" w:rsidRPr="00A701C1" w:rsidRDefault="00781E5A" w:rsidP="00781E5A">
      <w:pPr>
        <w:widowControl/>
        <w:numPr>
          <w:ilvl w:val="1"/>
          <w:numId w:val="1"/>
        </w:numPr>
        <w:suppressAutoHyphens/>
        <w:spacing w:line="276" w:lineRule="auto"/>
        <w:jc w:val="both"/>
      </w:pPr>
      <w:r w:rsidRPr="00A701C1">
        <w:t>jakości i zasięgu podjętych działań w zakresie rozpowszechniania rezultatów;</w:t>
      </w:r>
    </w:p>
    <w:p w14:paraId="15056FEE" w14:textId="77777777" w:rsidR="00781E5A" w:rsidRPr="00A701C1" w:rsidRDefault="00781E5A" w:rsidP="00781E5A">
      <w:pPr>
        <w:widowControl/>
        <w:numPr>
          <w:ilvl w:val="1"/>
          <w:numId w:val="1"/>
        </w:numPr>
        <w:suppressAutoHyphens/>
        <w:spacing w:after="200" w:line="276" w:lineRule="auto"/>
        <w:jc w:val="both"/>
      </w:pPr>
      <w:r w:rsidRPr="00A701C1">
        <w:t>potencjalnym szerszym wpływie projektu na osoby fizyczne i organizacje niebędące beneficjentami.</w:t>
      </w:r>
    </w:p>
    <w:p w14:paraId="0CA3AA6C" w14:textId="0384D2C4" w:rsidR="00781E5A" w:rsidRPr="00A701C1" w:rsidRDefault="00781E5A" w:rsidP="00781E5A">
      <w:pPr>
        <w:pStyle w:val="Nagwek1"/>
      </w:pPr>
      <w:bookmarkStart w:id="93" w:name="_Toc117674756"/>
      <w:bookmarkStart w:id="94" w:name="_Toc117696687"/>
      <w:bookmarkStart w:id="95" w:name="_Toc124769095"/>
      <w:bookmarkStart w:id="96" w:name="_Toc126757457"/>
      <w:bookmarkStart w:id="97" w:name="_Toc130557558"/>
      <w:r w:rsidRPr="00A701C1">
        <w:t xml:space="preserve">7. Należna kwota ( </w:t>
      </w:r>
      <w:r w:rsidR="00DF1AD8" w:rsidRPr="00DF1AD8">
        <w:t>—</w:t>
      </w:r>
      <w:r w:rsidR="00DF1AD8">
        <w:t xml:space="preserve"> </w:t>
      </w:r>
      <w:r w:rsidRPr="00A701C1">
        <w:t>art. 22.3)</w:t>
      </w:r>
      <w:bookmarkEnd w:id="93"/>
      <w:bookmarkEnd w:id="94"/>
      <w:bookmarkEnd w:id="95"/>
      <w:bookmarkEnd w:id="96"/>
      <w:bookmarkEnd w:id="97"/>
    </w:p>
    <w:p w14:paraId="7DCDA41B" w14:textId="77777777" w:rsidR="00781E5A" w:rsidRPr="00A701C1" w:rsidRDefault="00781E5A" w:rsidP="00781E5A">
      <w:pPr>
        <w:widowControl/>
        <w:suppressAutoHyphens/>
        <w:spacing w:after="200" w:line="276" w:lineRule="auto"/>
        <w:jc w:val="both"/>
      </w:pPr>
      <w:r w:rsidRPr="00A701C1">
        <w:t xml:space="preserve">Beneficjent musi zapewnić kwalifikowalność działań podejmowanych w ramach projektu, na które przyznano dotację, zgodnie z zasadami określonymi w przewodniku po programie Erasmus+ i niniejszą umową. </w:t>
      </w:r>
    </w:p>
    <w:p w14:paraId="41A81058" w14:textId="0F59D814" w:rsidR="00C20364" w:rsidRPr="00C20364" w:rsidRDefault="107028BB" w:rsidP="00C20364">
      <w:pPr>
        <w:suppressAutoHyphens/>
        <w:spacing w:after="200" w:line="276" w:lineRule="auto"/>
        <w:jc w:val="both"/>
      </w:pPr>
      <w:r>
        <w:t xml:space="preserve">Agencja narodowa uzna wszelkie działania niezgodne z postanowieniami określonymi w niniejszej umowie, uzupełnionymi zasadami określonymi w przewodniku po programie Erasmus+, za niekwalifikowalne. </w:t>
      </w:r>
    </w:p>
    <w:p w14:paraId="551DACD3" w14:textId="04C32FFE" w:rsidR="00781E5A" w:rsidRPr="00A701C1" w:rsidRDefault="00781E5A" w:rsidP="00781E5A">
      <w:pPr>
        <w:suppressAutoHyphens/>
        <w:spacing w:after="200" w:line="276" w:lineRule="auto"/>
        <w:jc w:val="both"/>
        <w:rPr>
          <w:rFonts w:eastAsia="Calibri"/>
        </w:rPr>
      </w:pPr>
    </w:p>
    <w:p w14:paraId="6E7BEECB" w14:textId="17BCF262" w:rsidR="00781E5A" w:rsidRPr="00A701C1" w:rsidRDefault="00781E5A" w:rsidP="00781E5A">
      <w:pPr>
        <w:suppressAutoHyphens/>
        <w:spacing w:after="200" w:line="276" w:lineRule="auto"/>
        <w:jc w:val="both"/>
        <w:rPr>
          <w:rFonts w:eastAsia="Calibri"/>
        </w:rPr>
      </w:pPr>
      <w:r>
        <w:t xml:space="preserve">Kwoty dotacji odpowiadające tym działaniom </w:t>
      </w:r>
      <w:r w:rsidR="00B323D5">
        <w:t>(</w:t>
      </w:r>
      <w:r w:rsidR="007A73BE">
        <w:t xml:space="preserve">w tym działania </w:t>
      </w:r>
      <w:r w:rsidR="00591E35">
        <w:t>będąca częścią</w:t>
      </w:r>
      <w:r w:rsidR="00B323D5">
        <w:t xml:space="preserve"> pakiet</w:t>
      </w:r>
      <w:r w:rsidR="00591E35">
        <w:t>u</w:t>
      </w:r>
      <w:r w:rsidR="00B323D5">
        <w:t xml:space="preserve"> prac) </w:t>
      </w:r>
      <w:r>
        <w:t xml:space="preserve">zostaną odzyskane w całości. </w:t>
      </w:r>
    </w:p>
    <w:p w14:paraId="2384E147" w14:textId="37F2B672" w:rsidR="00781E5A" w:rsidRPr="00A701C1" w:rsidRDefault="00781E5A" w:rsidP="00781E5A">
      <w:pPr>
        <w:pStyle w:val="Nagwek1"/>
        <w:rPr>
          <w:rFonts w:ascii="Times New Roman" w:hAnsi="Times New Roman" w:cs="Times New Roman"/>
          <w:szCs w:val="24"/>
        </w:rPr>
      </w:pPr>
      <w:bookmarkStart w:id="98" w:name="_Toc117591141"/>
      <w:bookmarkStart w:id="99" w:name="_Toc117674763"/>
      <w:bookmarkStart w:id="100" w:name="_Toc117696694"/>
      <w:bookmarkStart w:id="101" w:name="_Toc117699338"/>
      <w:bookmarkStart w:id="102" w:name="_Toc106118162"/>
      <w:bookmarkStart w:id="103" w:name="_Toc117591138"/>
      <w:bookmarkStart w:id="104" w:name="_Toc117674757"/>
      <w:bookmarkStart w:id="105" w:name="_Toc117696688"/>
      <w:bookmarkStart w:id="106" w:name="_Toc124769096"/>
      <w:bookmarkStart w:id="107" w:name="_Toc126757458"/>
      <w:bookmarkStart w:id="108" w:name="_Toc130557559"/>
      <w:bookmarkEnd w:id="98"/>
      <w:bookmarkEnd w:id="99"/>
      <w:bookmarkEnd w:id="100"/>
      <w:bookmarkEnd w:id="101"/>
      <w:bookmarkEnd w:id="102"/>
      <w:r w:rsidRPr="00A701C1">
        <w:t>8. Kontrole, przeglądy, audyty i dochodzenia</w:t>
      </w:r>
      <w:r w:rsidRPr="00A701C1">
        <w:rPr>
          <w:rFonts w:ascii="Times New Roman" w:hAnsi="Times New Roman"/>
        </w:rPr>
        <w:t xml:space="preserve"> (</w:t>
      </w:r>
      <w:r w:rsidR="00DF1AD8" w:rsidRPr="00DF1AD8">
        <w:rPr>
          <w:rFonts w:ascii="Times New Roman" w:hAnsi="Times New Roman"/>
        </w:rPr>
        <w:t>—</w:t>
      </w:r>
      <w:r w:rsidRPr="00A701C1">
        <w:rPr>
          <w:rFonts w:ascii="Times New Roman" w:hAnsi="Times New Roman"/>
        </w:rPr>
        <w:t xml:space="preserve"> art. 25)</w:t>
      </w:r>
      <w:bookmarkEnd w:id="103"/>
      <w:bookmarkEnd w:id="104"/>
      <w:bookmarkEnd w:id="105"/>
      <w:bookmarkEnd w:id="106"/>
      <w:bookmarkEnd w:id="107"/>
      <w:bookmarkEnd w:id="108"/>
    </w:p>
    <w:p w14:paraId="3BC31A43" w14:textId="4D90AE69" w:rsidR="00781E5A" w:rsidRPr="00A701C1" w:rsidRDefault="00781E5A" w:rsidP="00781E5A">
      <w:pPr>
        <w:suppressAutoHyphens/>
        <w:spacing w:line="276" w:lineRule="auto"/>
        <w:jc w:val="both"/>
        <w:rPr>
          <w:rFonts w:eastAsia="Calibri"/>
        </w:rPr>
      </w:pPr>
      <w:r w:rsidRPr="00A701C1">
        <w:t xml:space="preserve">Do celów art. 25 koordynator lub zainteresowani beneficjenci muszą przekazać </w:t>
      </w:r>
      <w:r w:rsidR="00D12EB8">
        <w:t>a</w:t>
      </w:r>
      <w:r w:rsidRPr="00A701C1">
        <w:t xml:space="preserve">gencji </w:t>
      </w:r>
      <w:r w:rsidR="00D12EB8">
        <w:t>n</w:t>
      </w:r>
      <w:r w:rsidRPr="00A701C1">
        <w:t xml:space="preserve">arodowej fizyczne lub elektroniczne kopie odpowiednich dokumentów potwierdzających, że działania przewidziane w projekcie faktycznie zostały zrealizowane (np. protokół ze spotkania, materiały szkoleniowe, rezultaty projektu itp.), chyba że </w:t>
      </w:r>
      <w:r w:rsidR="00D12EB8">
        <w:t>a</w:t>
      </w:r>
      <w:r w:rsidRPr="00A701C1">
        <w:t xml:space="preserve">gencja </w:t>
      </w:r>
      <w:r w:rsidR="00D12EB8">
        <w:t>n</w:t>
      </w:r>
      <w:r w:rsidRPr="00A701C1">
        <w:t xml:space="preserve">arodowa zwróci się o przekazanie oryginałów tych dokumentów. Po zbadaniu oryginałów dokumentów potwierdzających </w:t>
      </w:r>
      <w:r w:rsidR="00D12EB8">
        <w:t>a</w:t>
      </w:r>
      <w:r w:rsidRPr="00A701C1">
        <w:t xml:space="preserve">gencja </w:t>
      </w:r>
      <w:r w:rsidR="00D12EB8">
        <w:t>n</w:t>
      </w:r>
      <w:r w:rsidRPr="00A701C1">
        <w:t>arodowa musi zwrócić je zainteresowanemu beneficjentowi. Jeżeli zgodnie z obowiązującymi przepisami beneficjent nie jest upoważniony do przekazania oryginałów dokumentów, może zamiast tego przekazać kopię dokumentów potwierdzających.</w:t>
      </w:r>
    </w:p>
    <w:p w14:paraId="46D36264" w14:textId="77777777" w:rsidR="00781E5A" w:rsidRPr="00A701C1" w:rsidRDefault="00781E5A" w:rsidP="00781E5A">
      <w:pPr>
        <w:suppressAutoHyphens/>
        <w:spacing w:line="276" w:lineRule="auto"/>
        <w:jc w:val="both"/>
        <w:rPr>
          <w:rFonts w:eastAsia="Calibri"/>
          <w:lang w:eastAsia="ar-SA"/>
        </w:rPr>
      </w:pPr>
    </w:p>
    <w:p w14:paraId="36727F4E" w14:textId="3E28788B" w:rsidR="00781E5A" w:rsidRPr="00A701C1" w:rsidRDefault="00781E5A" w:rsidP="00781E5A">
      <w:pPr>
        <w:suppressAutoHyphens/>
        <w:spacing w:line="276" w:lineRule="auto"/>
        <w:jc w:val="both"/>
        <w:rPr>
          <w:rFonts w:eastAsia="Calibri"/>
        </w:rPr>
      </w:pPr>
      <w:r w:rsidRPr="00A701C1">
        <w:t xml:space="preserve">Projekt może podlegać dalszym kontrolom: kontroli dokumentacji, kontroli na miejscu i kontroli systemowej. W tym kontekście </w:t>
      </w:r>
      <w:r w:rsidR="00D12EB8">
        <w:t>a</w:t>
      </w:r>
      <w:r w:rsidRPr="00A701C1">
        <w:t xml:space="preserve">gencja </w:t>
      </w:r>
      <w:r w:rsidR="00D12EB8">
        <w:t>n</w:t>
      </w:r>
      <w:r w:rsidRPr="00A701C1">
        <w:t>arodowa może zwrócić się do beneficjenta o dostarczenie dodatkowych dokumentów potwierdzających lub dowodów, które są zwykle wymagane do celów przeprowadzenia kontroli danego rodzaju.</w:t>
      </w:r>
    </w:p>
    <w:p w14:paraId="618A992B" w14:textId="77777777" w:rsidR="00781E5A" w:rsidRPr="00A701C1" w:rsidRDefault="00781E5A" w:rsidP="00781E5A">
      <w:pPr>
        <w:pStyle w:val="Nagwek2"/>
        <w:widowControl/>
        <w:spacing w:before="200" w:after="200"/>
        <w:ind w:left="1622" w:hanging="1622"/>
        <w:jc w:val="both"/>
        <w:rPr>
          <w:rFonts w:ascii="Times New Roman Bold" w:hAnsi="Times New Roman Bold"/>
          <w:b/>
          <w:smallCaps/>
          <w:color w:val="auto"/>
          <w:sz w:val="24"/>
          <w:szCs w:val="24"/>
          <w:u w:val="single"/>
        </w:rPr>
      </w:pPr>
      <w:bookmarkStart w:id="109" w:name="_Toc117674758"/>
      <w:bookmarkStart w:id="110" w:name="_Toc117696689"/>
      <w:bookmarkStart w:id="111" w:name="_Toc124769097"/>
      <w:bookmarkStart w:id="112" w:name="_Toc126757459"/>
      <w:bookmarkStart w:id="113" w:name="_Toc130557560"/>
      <w:r w:rsidRPr="00A701C1">
        <w:rPr>
          <w:rFonts w:ascii="Times New Roman Bold" w:hAnsi="Times New Roman Bold"/>
          <w:b/>
          <w:smallCaps/>
          <w:color w:val="auto"/>
          <w:sz w:val="24"/>
          <w:u w:val="single"/>
        </w:rPr>
        <w:t>8.1 Kontrola dokumentacji</w:t>
      </w:r>
      <w:bookmarkEnd w:id="109"/>
      <w:bookmarkEnd w:id="110"/>
      <w:bookmarkEnd w:id="111"/>
      <w:bookmarkEnd w:id="112"/>
      <w:bookmarkEnd w:id="113"/>
      <w:r w:rsidRPr="00A701C1">
        <w:rPr>
          <w:rFonts w:ascii="Times New Roman Bold" w:hAnsi="Times New Roman Bold"/>
          <w:b/>
          <w:smallCaps/>
          <w:color w:val="auto"/>
          <w:sz w:val="24"/>
          <w:u w:val="single"/>
        </w:rPr>
        <w:t xml:space="preserve"> „DESK CHECK”</w:t>
      </w:r>
    </w:p>
    <w:p w14:paraId="1D22EB8D" w14:textId="2C8822EA" w:rsidR="00781E5A" w:rsidRPr="00A701C1" w:rsidRDefault="00781E5A" w:rsidP="00781E5A">
      <w:pPr>
        <w:suppressAutoHyphens/>
        <w:spacing w:line="276" w:lineRule="auto"/>
        <w:jc w:val="both"/>
        <w:rPr>
          <w:rFonts w:eastAsia="Calibri"/>
        </w:rPr>
      </w:pPr>
      <w:bookmarkStart w:id="114" w:name="_Toc117674759"/>
      <w:bookmarkStart w:id="115" w:name="_Toc117696690"/>
      <w:bookmarkStart w:id="116" w:name="_Toc124769098"/>
      <w:bookmarkStart w:id="117" w:name="_Toc126757460"/>
      <w:r w:rsidRPr="00A701C1">
        <w:t xml:space="preserve">Kontrola dokumentacji to szczegółowa kontrola dokumentów potwierdzających, przeprowadzana w siedzibie </w:t>
      </w:r>
      <w:r w:rsidR="00D12EB8">
        <w:t>a</w:t>
      </w:r>
      <w:r w:rsidRPr="00A701C1">
        <w:t xml:space="preserve">gencji </w:t>
      </w:r>
      <w:r w:rsidR="00D12EB8">
        <w:t>n</w:t>
      </w:r>
      <w:r w:rsidRPr="00A701C1">
        <w:t>arodowej na etapie sporządzania sprawozdania końcowego lub po zakończeniu tego etapu.</w:t>
      </w:r>
    </w:p>
    <w:p w14:paraId="5FB34D66"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118" w:name="_Toc130557561"/>
      <w:r w:rsidRPr="00A701C1">
        <w:rPr>
          <w:rFonts w:ascii="Times New Roman Bold" w:hAnsi="Times New Roman Bold"/>
          <w:b/>
          <w:smallCaps/>
          <w:color w:val="auto"/>
          <w:sz w:val="24"/>
          <w:u w:val="single"/>
        </w:rPr>
        <w:t>8.2 Kontrole na miejscu</w:t>
      </w:r>
      <w:bookmarkEnd w:id="114"/>
      <w:bookmarkEnd w:id="115"/>
      <w:bookmarkEnd w:id="116"/>
      <w:bookmarkEnd w:id="117"/>
      <w:bookmarkEnd w:id="118"/>
      <w:r w:rsidRPr="00A701C1">
        <w:rPr>
          <w:rFonts w:ascii="Times New Roman Bold" w:hAnsi="Times New Roman Bold"/>
          <w:b/>
          <w:smallCaps/>
          <w:color w:val="auto"/>
          <w:sz w:val="24"/>
          <w:u w:val="single"/>
        </w:rPr>
        <w:t xml:space="preserve"> „</w:t>
      </w:r>
      <w:r w:rsidRPr="00A701C1">
        <w:rPr>
          <w:rFonts w:ascii="Times New Roman Bold" w:hAnsi="Times New Roman Bold"/>
          <w:b/>
          <w:bCs/>
          <w:smallCaps/>
          <w:color w:val="auto"/>
          <w:sz w:val="24"/>
          <w:u w:val="single"/>
          <w:lang w:val="en-GB" w:bidi="ar-SA"/>
        </w:rPr>
        <w:t>On-the-spot checks”</w:t>
      </w:r>
    </w:p>
    <w:p w14:paraId="7CAD1F56" w14:textId="4C79E65A" w:rsidR="00781E5A" w:rsidRPr="00A701C1" w:rsidRDefault="00781E5A" w:rsidP="00781E5A">
      <w:pPr>
        <w:suppressAutoHyphens/>
        <w:spacing w:line="276" w:lineRule="auto"/>
        <w:jc w:val="both"/>
        <w:rPr>
          <w:rFonts w:eastAsia="SimSun"/>
          <w:b/>
          <w:bCs/>
          <w:kern w:val="1"/>
          <w:shd w:val="clear" w:color="auto" w:fill="00FFFF"/>
        </w:rPr>
      </w:pPr>
      <w:r w:rsidRPr="00A701C1">
        <w:t xml:space="preserve">Agencja </w:t>
      </w:r>
      <w:r w:rsidR="00D12EB8">
        <w:t>n</w:t>
      </w:r>
      <w:r w:rsidRPr="00A701C1">
        <w:t xml:space="preserve">arodowa przeprowadza kontrole na miejscu w siedzibie beneficjenta lub w dowolnych innych pomieszczeniach istotnych dla realizacji projektu. Podczas kontroli na miejscu beneficjent musi udostępnić </w:t>
      </w:r>
      <w:r w:rsidR="00D12EB8">
        <w:t>a</w:t>
      </w:r>
      <w:r w:rsidRPr="00A701C1">
        <w:t xml:space="preserve">gencji </w:t>
      </w:r>
      <w:r w:rsidR="00D12EB8">
        <w:t>n</w:t>
      </w:r>
      <w:r w:rsidRPr="00A701C1">
        <w:t>arodowej oryginały dokumentacji potwierdzającej w odniesieniu do wszystkich kategorii budżetu i zapewnić jej możliwość uzyskania wglądu do ksiąg rachunkowych beneficjenta zawierających informacje o wydatkach poniesionych na realizację projektu.</w:t>
      </w:r>
    </w:p>
    <w:p w14:paraId="18982BEB" w14:textId="77777777" w:rsidR="00781E5A" w:rsidRPr="00A701C1" w:rsidRDefault="00781E5A" w:rsidP="00781E5A">
      <w:pPr>
        <w:suppressAutoHyphens/>
        <w:spacing w:line="276" w:lineRule="auto"/>
        <w:jc w:val="both"/>
        <w:rPr>
          <w:rFonts w:eastAsia="Calibri"/>
          <w:lang w:eastAsia="ar-SA"/>
        </w:rPr>
      </w:pPr>
    </w:p>
    <w:p w14:paraId="20D98BA6" w14:textId="77777777" w:rsidR="00781E5A" w:rsidRPr="00A701C1" w:rsidRDefault="00781E5A" w:rsidP="00781E5A">
      <w:pPr>
        <w:suppressAutoHyphens/>
        <w:spacing w:line="276" w:lineRule="auto"/>
        <w:jc w:val="both"/>
        <w:rPr>
          <w:rFonts w:eastAsia="Calibri"/>
        </w:rPr>
      </w:pPr>
      <w:r w:rsidRPr="00A701C1">
        <w:t>Kontrole na miejscu mogą przybrać następującą formę:</w:t>
      </w:r>
    </w:p>
    <w:p w14:paraId="54CF1866" w14:textId="77777777" w:rsidR="00781E5A" w:rsidRPr="00A701C1" w:rsidRDefault="00781E5A" w:rsidP="00781E5A">
      <w:pPr>
        <w:suppressAutoHyphens/>
        <w:spacing w:line="276" w:lineRule="auto"/>
        <w:jc w:val="both"/>
        <w:rPr>
          <w:rFonts w:eastAsia="Calibri"/>
          <w:lang w:eastAsia="ar-SA"/>
        </w:rPr>
      </w:pPr>
    </w:p>
    <w:p w14:paraId="27E7EAA1" w14:textId="0067940B" w:rsidR="00781E5A" w:rsidRPr="00A701C1" w:rsidRDefault="00781E5A" w:rsidP="00781E5A">
      <w:pPr>
        <w:pStyle w:val="Akapitzlist"/>
        <w:widowControl/>
        <w:numPr>
          <w:ilvl w:val="0"/>
          <w:numId w:val="2"/>
        </w:numPr>
        <w:suppressAutoHyphens/>
        <w:spacing w:after="200" w:line="276" w:lineRule="auto"/>
        <w:contextualSpacing w:val="0"/>
        <w:jc w:val="both"/>
        <w:rPr>
          <w:rFonts w:eastAsia="Calibri"/>
        </w:rPr>
      </w:pPr>
      <w:r w:rsidRPr="00A701C1">
        <w:rPr>
          <w:b/>
        </w:rPr>
        <w:t>kontrola na miejscu w trakcie realizacji projektu</w:t>
      </w:r>
      <w:r w:rsidRPr="00A701C1">
        <w:t xml:space="preserve">: tego rodzaju kontrolę przeprowadza się w trakcie realizacji projektu, aby umożliwić </w:t>
      </w:r>
      <w:r w:rsidR="00D12EB8">
        <w:t>a</w:t>
      </w:r>
      <w:r w:rsidRPr="00A701C1">
        <w:t xml:space="preserve">gencji </w:t>
      </w:r>
      <w:r w:rsidR="00D12EB8">
        <w:t>n</w:t>
      </w:r>
      <w:r w:rsidRPr="00A701C1">
        <w:t>arodowej bezpośrednie zbadanie sytuacji i ocenę kwalifikowalności wszystkich podejmowanych w ramach projektu działań i wszystkich uczestników projektu;</w:t>
      </w:r>
    </w:p>
    <w:p w14:paraId="0720F9B5" w14:textId="77777777" w:rsidR="00781E5A" w:rsidRPr="00A701C1" w:rsidRDefault="00781E5A" w:rsidP="00781E5A">
      <w:pPr>
        <w:pStyle w:val="Akapitzlist"/>
        <w:widowControl/>
        <w:numPr>
          <w:ilvl w:val="0"/>
          <w:numId w:val="2"/>
        </w:numPr>
        <w:suppressAutoHyphens/>
        <w:spacing w:after="200" w:line="276" w:lineRule="auto"/>
        <w:contextualSpacing w:val="0"/>
        <w:jc w:val="both"/>
        <w:rPr>
          <w:rFonts w:eastAsia="Calibri"/>
        </w:rPr>
      </w:pPr>
      <w:r w:rsidRPr="00A701C1">
        <w:rPr>
          <w:b/>
        </w:rPr>
        <w:t>kontrola na miejscu po zakończeniu projektu</w:t>
      </w:r>
      <w:r w:rsidRPr="00A701C1">
        <w:t>: tego rodzaju kontrolę przeprowadza się po zakończeniu projektu, zazwyczaj po przeprowadzeniu kontroli sprawozdania końcowego.</w:t>
      </w:r>
    </w:p>
    <w:p w14:paraId="171858B7"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119" w:name="_Toc117674760"/>
      <w:bookmarkStart w:id="120" w:name="_Toc117696691"/>
      <w:bookmarkStart w:id="121" w:name="_Toc124769099"/>
      <w:bookmarkStart w:id="122" w:name="_Toc126757461"/>
      <w:bookmarkStart w:id="123" w:name="_Toc130557562"/>
      <w:r w:rsidRPr="00A701C1">
        <w:rPr>
          <w:rFonts w:ascii="Times New Roman Bold" w:hAnsi="Times New Roman Bold"/>
          <w:b/>
          <w:smallCaps/>
          <w:color w:val="auto"/>
          <w:sz w:val="24"/>
          <w:u w:val="single"/>
        </w:rPr>
        <w:t>8.3 Kontrola system</w:t>
      </w:r>
      <w:bookmarkEnd w:id="119"/>
      <w:bookmarkEnd w:id="120"/>
      <w:bookmarkEnd w:id="121"/>
      <w:bookmarkEnd w:id="122"/>
      <w:bookmarkEnd w:id="123"/>
      <w:r w:rsidRPr="00A701C1">
        <w:rPr>
          <w:rFonts w:ascii="Times New Roman Bold" w:hAnsi="Times New Roman Bold"/>
          <w:b/>
          <w:smallCaps/>
          <w:color w:val="auto"/>
          <w:sz w:val="24"/>
          <w:u w:val="single"/>
        </w:rPr>
        <w:t>owa</w:t>
      </w:r>
    </w:p>
    <w:p w14:paraId="1C1034A8" w14:textId="43149FCF" w:rsidR="00781E5A" w:rsidRPr="00A701C1" w:rsidRDefault="00781E5A" w:rsidP="00781E5A">
      <w:pPr>
        <w:suppressAutoHyphens/>
        <w:spacing w:after="200" w:line="276" w:lineRule="auto"/>
        <w:jc w:val="both"/>
        <w:rPr>
          <w:rFonts w:eastAsia="SimSun"/>
          <w:kern w:val="1"/>
        </w:rPr>
      </w:pPr>
      <w:r w:rsidRPr="00A701C1">
        <w:t xml:space="preserve">Kontrolę systemowa przeprowadza się, aby ocenić ustanowienie systemu składania przez beneficjenta regularnych wniosków o dotację w kontekście programu, jak również aby ocenić wywiązywanie się przez niego z zobowiązań podjętych w wyniku uzyskania przez niego akredytacji. Kontrolę systemową przeprowadza się, aby ocenić wywiązywanie się przez beneficjenta z norm realizacji, do których zobowiązał się w ramach programu Erasmus+. Beneficjent musi umożliwić </w:t>
      </w:r>
      <w:r w:rsidR="00D12EB8">
        <w:t>a</w:t>
      </w:r>
      <w:r w:rsidRPr="00A701C1">
        <w:t xml:space="preserve">gencji </w:t>
      </w:r>
      <w:r w:rsidR="00D12EB8">
        <w:t>n</w:t>
      </w:r>
      <w:r w:rsidRPr="00A701C1">
        <w:t>arodowej sprawdzenie realności i kwalifikowalności wszystkich działań w ramach projektu i odnośnie do wszystkich uczestników za pomocą wszelkich środków dokumentacji, w tym nagrań wideo i zdjęć podjętych działań, w celu uniknięcia podwójnego finansowania lub innych nieprawidłowości.</w:t>
      </w:r>
    </w:p>
    <w:p w14:paraId="34C0D225" w14:textId="77777777" w:rsidR="00781E5A" w:rsidRPr="00A701C1" w:rsidRDefault="00781E5A" w:rsidP="00781E5A">
      <w:pPr>
        <w:pStyle w:val="Nagwek1"/>
      </w:pPr>
      <w:bookmarkStart w:id="124" w:name="_Toc126757462"/>
      <w:bookmarkStart w:id="125" w:name="_Toc130557563"/>
      <w:bookmarkStart w:id="126" w:name="_Toc124769100"/>
      <w:r w:rsidRPr="00A701C1">
        <w:t>9. Zmniejszenie dotacji (— art. 28)</w:t>
      </w:r>
      <w:bookmarkEnd w:id="124"/>
      <w:bookmarkEnd w:id="125"/>
      <w:r w:rsidRPr="00A701C1">
        <w:t xml:space="preserve"> </w:t>
      </w:r>
      <w:bookmarkEnd w:id="126"/>
    </w:p>
    <w:p w14:paraId="644AA95C" w14:textId="09439202" w:rsidR="00781E5A" w:rsidRPr="00A701C1" w:rsidRDefault="00781E5A" w:rsidP="00781E5A">
      <w:pPr>
        <w:spacing w:after="200" w:line="276" w:lineRule="auto"/>
        <w:jc w:val="both"/>
      </w:pPr>
      <w:r w:rsidRPr="00A701C1">
        <w:t xml:space="preserve">Agencja </w:t>
      </w:r>
      <w:r w:rsidR="00D12EB8">
        <w:t>n</w:t>
      </w:r>
      <w:r w:rsidRPr="00A701C1">
        <w:t xml:space="preserve">arodowa może uznać, że realizacja projektu była niezadowalająca, niepełna lub spóźniona, w oparciu o sprawozdanie końcowe przekazane przez beneficjenta oraz informacje otrzymane od uczestników biorących udział w działaniach, a także na podstawie wyników projektu. </w:t>
      </w:r>
    </w:p>
    <w:p w14:paraId="1F50190C" w14:textId="1F8A2A68" w:rsidR="00781E5A" w:rsidRPr="00A701C1" w:rsidRDefault="00781E5A" w:rsidP="00781E5A">
      <w:pPr>
        <w:tabs>
          <w:tab w:val="left" w:pos="709"/>
        </w:tabs>
        <w:spacing w:after="200" w:line="276" w:lineRule="auto"/>
        <w:jc w:val="both"/>
      </w:pPr>
      <w:r w:rsidRPr="00A701C1">
        <w:t xml:space="preserve">Agencja </w:t>
      </w:r>
      <w:r w:rsidR="00D12EB8">
        <w:t>n</w:t>
      </w:r>
      <w:r w:rsidRPr="00A701C1">
        <w:t xml:space="preserve">arodowa może uwzględnić informacje otrzymane z dowolnego innego odpowiedniego źródła, potwierdzające, że beneficjent naruszył obowiązki wynikające z umowy. Wśród takich innych źródeł informacji można wymienić wizyty monitorujące, sprawozdania okresowe i sprawozdania z postępu prac, kontrole dokumentacji lub kontrole na miejscu przeprowadzane przez </w:t>
      </w:r>
      <w:r w:rsidR="00D12EB8">
        <w:t>a</w:t>
      </w:r>
      <w:r w:rsidRPr="00A701C1">
        <w:t xml:space="preserve">gencję </w:t>
      </w:r>
      <w:r w:rsidR="00D12EB8">
        <w:t>n</w:t>
      </w:r>
      <w:r w:rsidRPr="00A701C1">
        <w:t>arodową.</w:t>
      </w:r>
      <w:bookmarkStart w:id="127" w:name="_Toc117591140"/>
      <w:bookmarkStart w:id="128" w:name="_Toc117674762"/>
      <w:bookmarkStart w:id="129" w:name="_Toc117696693"/>
      <w:bookmarkStart w:id="130" w:name="_Toc117699337"/>
      <w:bookmarkStart w:id="131" w:name="_Toc124769101"/>
      <w:bookmarkStart w:id="132" w:name="_Toc126757463"/>
      <w:bookmarkStart w:id="133" w:name="_Toc130557564"/>
    </w:p>
    <w:p w14:paraId="5EDDA70B" w14:textId="1289A449" w:rsidR="00781E5A" w:rsidRPr="00A701C1" w:rsidRDefault="00781E5A" w:rsidP="00781E5A">
      <w:pPr>
        <w:tabs>
          <w:tab w:val="left" w:pos="709"/>
        </w:tabs>
        <w:spacing w:after="200" w:line="276" w:lineRule="auto"/>
        <w:jc w:val="both"/>
      </w:pPr>
      <w:r w:rsidRPr="00A701C1">
        <w:rPr>
          <w:rStyle w:val="normaltextrun"/>
          <w:rFonts w:eastAsiaTheme="majorEastAsia"/>
        </w:rPr>
        <w:t>Zgodnie z procedurą oceny punktowej sprawozdania końcowego, opisaną w powyższym art. </w:t>
      </w:r>
      <w:r w:rsidR="00A45F97">
        <w:rPr>
          <w:rStyle w:val="normaltextrun"/>
          <w:rFonts w:eastAsiaTheme="majorEastAsia"/>
        </w:rPr>
        <w:t>6</w:t>
      </w:r>
      <w:r w:rsidRPr="00A701C1">
        <w:rPr>
          <w:rStyle w:val="normaltextrun"/>
          <w:rFonts w:eastAsiaTheme="majorEastAsia"/>
        </w:rPr>
        <w:t>.4, agencja narodowa zmniejszy ostateczną kwotę dotacji o: </w:t>
      </w:r>
      <w:r w:rsidRPr="00A701C1">
        <w:rPr>
          <w:rStyle w:val="eop"/>
          <w:rFonts w:eastAsiaTheme="majorEastAsia"/>
        </w:rPr>
        <w:t> </w:t>
      </w:r>
    </w:p>
    <w:p w14:paraId="785E27FC"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10 %, jeżeli sprawozdaniu końcowemu przyznano od 45 do 59 punktów;</w:t>
      </w:r>
      <w:r w:rsidRPr="00A701C1">
        <w:rPr>
          <w:rStyle w:val="eop"/>
          <w:rFonts w:eastAsiaTheme="majorEastAsia"/>
          <w:color w:val="000000"/>
        </w:rPr>
        <w:t> </w:t>
      </w:r>
    </w:p>
    <w:p w14:paraId="4F30EA54"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30 %, jeżeli sprawozdaniu końcowemu przyznano od 30 do 44 punktów;</w:t>
      </w:r>
      <w:r w:rsidRPr="00A701C1">
        <w:rPr>
          <w:rStyle w:val="eop"/>
          <w:rFonts w:eastAsiaTheme="majorEastAsia"/>
          <w:color w:val="000000"/>
        </w:rPr>
        <w:t> </w:t>
      </w:r>
    </w:p>
    <w:p w14:paraId="229A750E"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70 %, jeżeli sprawozdaniu końcowemu przyznano od 10 do 29 punktów;</w:t>
      </w:r>
      <w:r w:rsidRPr="00A701C1">
        <w:rPr>
          <w:rStyle w:val="eop"/>
          <w:rFonts w:eastAsiaTheme="majorEastAsia"/>
          <w:color w:val="000000"/>
        </w:rPr>
        <w:t> </w:t>
      </w:r>
    </w:p>
    <w:p w14:paraId="1A895A14"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100 %, jeżeli sprawozdaniu końcowemu przyznano od 0 do 9 punktów.</w:t>
      </w:r>
      <w:r w:rsidRPr="00A701C1">
        <w:rPr>
          <w:rStyle w:val="eop"/>
          <w:rFonts w:eastAsiaTheme="majorEastAsia"/>
          <w:color w:val="000000"/>
        </w:rPr>
        <w:t> </w:t>
      </w:r>
    </w:p>
    <w:p w14:paraId="22516964" w14:textId="77777777" w:rsidR="00781E5A" w:rsidRPr="00A701C1" w:rsidRDefault="00781E5A" w:rsidP="00781E5A">
      <w:pPr>
        <w:pStyle w:val="paragraph"/>
        <w:spacing w:before="0" w:beforeAutospacing="0" w:after="0" w:afterAutospacing="0" w:line="276" w:lineRule="auto"/>
        <w:jc w:val="both"/>
        <w:textAlignment w:val="baseline"/>
        <w:rPr>
          <w:rStyle w:val="normaltextrun"/>
          <w:rFonts w:eastAsiaTheme="majorEastAsia"/>
          <w:color w:val="000000"/>
        </w:rPr>
      </w:pPr>
    </w:p>
    <w:p w14:paraId="2844D6AE" w14:textId="77777777" w:rsidR="00781E5A" w:rsidRPr="00A701C1" w:rsidRDefault="00781E5A" w:rsidP="00781E5A">
      <w:pPr>
        <w:pStyle w:val="paragraph"/>
        <w:spacing w:before="0" w:beforeAutospacing="0" w:after="0" w:afterAutospacing="0" w:line="276" w:lineRule="auto"/>
        <w:jc w:val="both"/>
        <w:textAlignment w:val="baseline"/>
        <w:rPr>
          <w:rFonts w:ascii="Segoe UI" w:hAnsi="Segoe UI" w:cs="Segoe UI"/>
          <w:color w:val="000000"/>
          <w:sz w:val="18"/>
          <w:szCs w:val="18"/>
        </w:rPr>
      </w:pPr>
      <w:r w:rsidRPr="00A701C1">
        <w:rPr>
          <w:rStyle w:val="normaltextrun"/>
          <w:rFonts w:eastAsiaTheme="majorEastAsia"/>
          <w:color w:val="000000"/>
        </w:rPr>
        <w:t>W przypadku gdy działania planowanego w ramach projektu nie zrealizowano i nie zastąpiono go innym działaniem równoważnym pod względem wkładu w osiągnięcie celu i pod względem budżetu, agencja narodowa zmniejsza dotację o kwotę przeznaczoną na to działanie.</w:t>
      </w:r>
    </w:p>
    <w:p w14:paraId="73EC9146" w14:textId="77777777" w:rsidR="00781E5A" w:rsidRPr="00A701C1" w:rsidRDefault="00781E5A" w:rsidP="00781E5A">
      <w:pPr>
        <w:pStyle w:val="Nagwek1"/>
      </w:pPr>
    </w:p>
    <w:p w14:paraId="558E0FE2" w14:textId="77777777" w:rsidR="00781E5A" w:rsidRPr="00A701C1" w:rsidRDefault="00781E5A" w:rsidP="00781E5A">
      <w:pPr>
        <w:pStyle w:val="Nagwek1"/>
      </w:pPr>
      <w:r w:rsidRPr="00A701C1">
        <w:t>10. Komunikacja między stronami (— art. 36)</w:t>
      </w:r>
      <w:bookmarkEnd w:id="127"/>
      <w:bookmarkEnd w:id="128"/>
      <w:bookmarkEnd w:id="129"/>
      <w:bookmarkEnd w:id="130"/>
      <w:bookmarkEnd w:id="131"/>
      <w:bookmarkEnd w:id="132"/>
      <w:bookmarkEnd w:id="133"/>
    </w:p>
    <w:p w14:paraId="460428D8" w14:textId="67436399" w:rsidR="00781E5A" w:rsidRPr="00A701C1" w:rsidRDefault="00781E5A" w:rsidP="00781E5A">
      <w:pPr>
        <w:jc w:val="both"/>
      </w:pPr>
      <w:r w:rsidRPr="00A701C1">
        <w:t xml:space="preserve">Oficjalne powiadomienia na piśmie skierowane do </w:t>
      </w:r>
      <w:r w:rsidR="00D12EB8">
        <w:t>a</w:t>
      </w:r>
      <w:r w:rsidRPr="00A701C1">
        <w:t xml:space="preserve">gencji </w:t>
      </w:r>
      <w:r w:rsidR="00D12EB8">
        <w:t>n</w:t>
      </w:r>
      <w:r w:rsidRPr="00A701C1">
        <w:t xml:space="preserve">arodowej należy przesyłać na jej adres podany w preambule. </w:t>
      </w:r>
    </w:p>
    <w:p w14:paraId="289FB4D8" w14:textId="77777777" w:rsidR="00781E5A" w:rsidRPr="00A701C1" w:rsidRDefault="00781E5A" w:rsidP="00781E5A"/>
    <w:p w14:paraId="11E99C29" w14:textId="77777777" w:rsidR="00781E5A" w:rsidRPr="00A701C1" w:rsidRDefault="00781E5A" w:rsidP="00781E5A">
      <w:pPr>
        <w:jc w:val="both"/>
      </w:pPr>
      <w:r>
        <w:t>Oficjalne powiadomienia na piśmie kierowane do beneficjentów należy przesyłać na ich oficjalny adres podany w preambule.</w:t>
      </w:r>
    </w:p>
    <w:p w14:paraId="4A1894A1" w14:textId="77777777" w:rsidR="00781E5A" w:rsidRPr="00A701C1" w:rsidRDefault="00781E5A" w:rsidP="00781E5A">
      <w:pPr>
        <w:pStyle w:val="Nagwek1"/>
        <w:spacing w:before="200"/>
        <w:ind w:left="0" w:firstLine="0"/>
      </w:pPr>
      <w:bookmarkStart w:id="134" w:name="_Toc124769078"/>
      <w:bookmarkStart w:id="135" w:name="_Toc126757440"/>
      <w:bookmarkStart w:id="136" w:name="_Toc130557565"/>
      <w:r w:rsidRPr="00A701C1">
        <w:t xml:space="preserve">11. </w:t>
      </w:r>
      <w:r w:rsidRPr="00A701C1">
        <w:rPr>
          <w:bCs w:val="0"/>
        </w:rPr>
        <w:t xml:space="preserve">Wsparcie </w:t>
      </w:r>
      <w:r w:rsidRPr="00A701C1">
        <w:t>włączenia uczestników o mniejszych szansach</w:t>
      </w:r>
      <w:bookmarkEnd w:id="134"/>
      <w:bookmarkEnd w:id="135"/>
      <w:bookmarkEnd w:id="136"/>
    </w:p>
    <w:p w14:paraId="2C0AC61F" w14:textId="77777777" w:rsidR="00781E5A" w:rsidRPr="00A701C1" w:rsidRDefault="00781E5A" w:rsidP="00781E5A">
      <w:pPr>
        <w:suppressAutoHyphens/>
        <w:spacing w:after="200" w:line="276" w:lineRule="auto"/>
        <w:jc w:val="both"/>
      </w:pPr>
      <w:r w:rsidRPr="00A701C1">
        <w:t xml:space="preserve">Beneficjent jest odpowiedzialny za zapewnienie odpowiedniego wsparcia uczestnikom o mniejszych szansach zaangażowanym w projekt. </w:t>
      </w:r>
    </w:p>
    <w:p w14:paraId="345F60BD" w14:textId="77777777" w:rsidR="00781E5A" w:rsidRPr="00A701C1" w:rsidRDefault="00781E5A" w:rsidP="00781E5A">
      <w:pPr>
        <w:pStyle w:val="Nagwek1"/>
        <w:rPr>
          <w:b w:val="0"/>
          <w:bCs w:val="0"/>
        </w:rPr>
      </w:pPr>
      <w:bookmarkStart w:id="137" w:name="_Toc117591136"/>
      <w:bookmarkStart w:id="138" w:name="_Toc117674752"/>
      <w:bookmarkStart w:id="139" w:name="_Toc117696683"/>
      <w:bookmarkStart w:id="140" w:name="_Toc117699326"/>
      <w:bookmarkStart w:id="141" w:name="_Toc126757451"/>
      <w:bookmarkStart w:id="142" w:name="_Toc130557566"/>
      <w:bookmarkStart w:id="143" w:name="_Toc472514515"/>
      <w:bookmarkStart w:id="144" w:name="_Toc106118154"/>
      <w:bookmarkStart w:id="145" w:name="_Toc124769089"/>
      <w:bookmarkEnd w:id="137"/>
      <w:bookmarkEnd w:id="138"/>
      <w:bookmarkEnd w:id="139"/>
      <w:bookmarkEnd w:id="140"/>
      <w:r w:rsidRPr="00A701C1">
        <w:t>12. Ochrona i bezpieczeństwo uczestników</w:t>
      </w:r>
      <w:bookmarkEnd w:id="141"/>
      <w:bookmarkEnd w:id="142"/>
      <w:r w:rsidRPr="00A701C1">
        <w:t xml:space="preserve"> </w:t>
      </w:r>
      <w:bookmarkEnd w:id="143"/>
      <w:bookmarkEnd w:id="144"/>
      <w:bookmarkEnd w:id="145"/>
    </w:p>
    <w:p w14:paraId="4A0F0575" w14:textId="77777777" w:rsidR="00781E5A" w:rsidRPr="00A701C1" w:rsidRDefault="00781E5A" w:rsidP="00781E5A">
      <w:pPr>
        <w:spacing w:after="200" w:line="276" w:lineRule="auto"/>
        <w:jc w:val="both"/>
      </w:pPr>
      <w:r w:rsidRPr="00A701C1">
        <w:t>Beneficjent wprowadza skuteczne procedury i mechanizmy służące zapewnieniu bezpieczeństwa i ochrony uczestników swojego projektu.</w:t>
      </w:r>
    </w:p>
    <w:p w14:paraId="3D512854" w14:textId="77777777" w:rsidR="00781E5A" w:rsidRPr="00A701C1" w:rsidRDefault="00781E5A" w:rsidP="00781E5A">
      <w:pPr>
        <w:spacing w:after="200" w:line="276" w:lineRule="auto"/>
        <w:jc w:val="both"/>
      </w:pPr>
      <w:r w:rsidRPr="00A701C1">
        <w:t xml:space="preserve">Beneficjent musi zapewnić ubezpieczenie uczestnikom biorącym udział w działaniach. </w:t>
      </w:r>
    </w:p>
    <w:p w14:paraId="6D84FBA6" w14:textId="77777777" w:rsidR="00781E5A" w:rsidRPr="00A701C1" w:rsidRDefault="00781E5A" w:rsidP="00781E5A">
      <w:pPr>
        <w:suppressAutoHyphens/>
        <w:spacing w:after="200" w:line="276" w:lineRule="auto"/>
        <w:jc w:val="both"/>
        <w:rPr>
          <w:rFonts w:eastAsia="Calibri"/>
        </w:rPr>
      </w:pPr>
      <w:r w:rsidRPr="00A701C1">
        <w:t>Przed rozpoczęciem uczestnictwa małoletnich w projekcie beneficjent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21B7070B" w14:textId="77777777" w:rsidR="00781E5A" w:rsidRPr="00A701C1" w:rsidRDefault="00781E5A" w:rsidP="00781E5A">
      <w:pPr>
        <w:pStyle w:val="Nagwek1"/>
      </w:pPr>
      <w:bookmarkStart w:id="146" w:name="_Toc124769102"/>
      <w:bookmarkStart w:id="147" w:name="_Toc126757464"/>
      <w:bookmarkStart w:id="148" w:name="_Toc130557567"/>
      <w:bookmarkStart w:id="149" w:name="_Toc472514528"/>
      <w:bookmarkStart w:id="150" w:name="_Toc106118164"/>
      <w:r w:rsidRPr="00A701C1">
        <w:t>13. Monitorowanie i ocena akredytacji</w:t>
      </w:r>
      <w:bookmarkEnd w:id="146"/>
      <w:bookmarkEnd w:id="147"/>
      <w:bookmarkEnd w:id="148"/>
    </w:p>
    <w:p w14:paraId="68412CBA" w14:textId="615F6406" w:rsidR="00A45F97" w:rsidRPr="00A45F97" w:rsidRDefault="00A45F97" w:rsidP="00781E5A">
      <w:pPr>
        <w:suppressAutoHyphens/>
        <w:spacing w:after="200" w:line="276" w:lineRule="auto"/>
        <w:jc w:val="both"/>
        <w:rPr>
          <w:i/>
          <w:color w:val="00B050"/>
        </w:rPr>
      </w:pPr>
      <w:r w:rsidRPr="00A45F97">
        <w:rPr>
          <w:i/>
          <w:color w:val="00B050"/>
        </w:rPr>
        <w:t>[</w:t>
      </w:r>
      <w:r>
        <w:rPr>
          <w:i/>
          <w:color w:val="00B050"/>
        </w:rPr>
        <w:t xml:space="preserve">w przypadku </w:t>
      </w:r>
      <w:r w:rsidRPr="00A45F97">
        <w:rPr>
          <w:i/>
          <w:color w:val="00B050"/>
        </w:rPr>
        <w:t>szkolnictw</w:t>
      </w:r>
      <w:r>
        <w:rPr>
          <w:i/>
          <w:color w:val="00B050"/>
        </w:rPr>
        <w:t>a</w:t>
      </w:r>
      <w:r w:rsidRPr="00A45F97">
        <w:rPr>
          <w:i/>
          <w:color w:val="00B050"/>
        </w:rPr>
        <w:t xml:space="preserve"> wyższe</w:t>
      </w:r>
      <w:r>
        <w:rPr>
          <w:i/>
          <w:color w:val="00B050"/>
        </w:rPr>
        <w:t>go</w:t>
      </w:r>
      <w:r w:rsidRPr="00A45F97">
        <w:rPr>
          <w:i/>
          <w:color w:val="00B050"/>
        </w:rPr>
        <w:t>:</w:t>
      </w:r>
    </w:p>
    <w:p w14:paraId="6B76F62A" w14:textId="77777777" w:rsidR="00A45F97" w:rsidRPr="00A45F97" w:rsidRDefault="00A45F97" w:rsidP="00A45F97">
      <w:pPr>
        <w:suppressAutoHyphens/>
        <w:spacing w:after="200" w:line="276" w:lineRule="auto"/>
        <w:jc w:val="both"/>
        <w:rPr>
          <w:iCs/>
          <w:color w:val="000000" w:themeColor="text1"/>
        </w:rPr>
      </w:pPr>
      <w:r w:rsidRPr="00A45F97">
        <w:rPr>
          <w:iCs/>
          <w:color w:val="000000" w:themeColor="text1"/>
        </w:rPr>
        <w:t>Agencja narodowa i Komisja będą monitorować właściwe wdrażanie Karty Erasmusa dla szkolnictwa wyższego przez beneficjenta i przestrzeganie zobowiązań określonych w dotyczących go porozumieniach międzyinstytucjonalnych.</w:t>
      </w:r>
    </w:p>
    <w:p w14:paraId="4DCEA3D7" w14:textId="77777777" w:rsidR="00A45F97" w:rsidRPr="00A45F97" w:rsidRDefault="00A45F97" w:rsidP="00A45F97">
      <w:pPr>
        <w:suppressAutoHyphens/>
        <w:spacing w:after="200" w:line="276" w:lineRule="auto"/>
        <w:jc w:val="both"/>
        <w:rPr>
          <w:iCs/>
          <w:color w:val="000000" w:themeColor="text1"/>
        </w:rPr>
      </w:pPr>
      <w:r w:rsidRPr="00A45F97">
        <w:rPr>
          <w:iCs/>
          <w:color w:val="000000" w:themeColor="text1"/>
        </w:rPr>
        <w:t>W przypadku gdy monitorowanie wykaże niedociągnięcia, beneficjent musi opracować i wdrożyć plan działania w terminie wyznaczonym przez agencję narodową lub Komisję. W przypadku braku odpowiednich i terminowych działań naprawczych ze strony beneficjenta agencja narodowa może zalecić Komisji zawieszenie lub wycofanie Karty Erasmusa dla szkolnictwa wyższego zgodnie z postanowieniami zawartymi w Karcie.</w:t>
      </w:r>
      <w:r w:rsidRPr="00A45F97">
        <w:rPr>
          <w:i/>
          <w:color w:val="00B050"/>
        </w:rPr>
        <w:t>]</w:t>
      </w:r>
    </w:p>
    <w:p w14:paraId="36F78AA8" w14:textId="549C4B29" w:rsidR="00A45F97" w:rsidRPr="00A45F97" w:rsidRDefault="00A45F97" w:rsidP="00781E5A">
      <w:pPr>
        <w:suppressAutoHyphens/>
        <w:spacing w:after="200" w:line="276" w:lineRule="auto"/>
        <w:jc w:val="both"/>
        <w:rPr>
          <w:i/>
          <w:color w:val="00B050"/>
        </w:rPr>
      </w:pPr>
      <w:r w:rsidRPr="00A45F97">
        <w:rPr>
          <w:i/>
          <w:color w:val="00B050"/>
        </w:rPr>
        <w:t>[pozostałe</w:t>
      </w:r>
      <w:r>
        <w:rPr>
          <w:i/>
          <w:color w:val="00B050"/>
        </w:rPr>
        <w:t xml:space="preserve"> sektory</w:t>
      </w:r>
      <w:r w:rsidRPr="00A45F97">
        <w:rPr>
          <w:i/>
          <w:color w:val="00B050"/>
        </w:rPr>
        <w:t>:</w:t>
      </w:r>
    </w:p>
    <w:p w14:paraId="0595EEAA" w14:textId="567E52EE" w:rsidR="00781E5A" w:rsidRPr="00A701C1" w:rsidRDefault="00781E5A" w:rsidP="00781E5A">
      <w:pPr>
        <w:suppressAutoHyphens/>
        <w:spacing w:after="200" w:line="276" w:lineRule="auto"/>
        <w:jc w:val="both"/>
        <w:rPr>
          <w:rFonts w:eastAsia="Calibri"/>
          <w:iCs/>
          <w:color w:val="000000" w:themeColor="text1"/>
        </w:rPr>
      </w:pPr>
      <w:r w:rsidRPr="00A701C1">
        <w:rPr>
          <w:iCs/>
          <w:color w:val="000000" w:themeColor="text1"/>
        </w:rPr>
        <w:t xml:space="preserve">Nie dotyczy. </w:t>
      </w:r>
      <w:r w:rsidR="00A45F97" w:rsidRPr="00A45F97">
        <w:rPr>
          <w:i/>
          <w:color w:val="00B050"/>
        </w:rPr>
        <w:t>]</w:t>
      </w:r>
    </w:p>
    <w:p w14:paraId="63F1B60A" w14:textId="77777777" w:rsidR="00781E5A" w:rsidRPr="00A701C1" w:rsidRDefault="00781E5A" w:rsidP="00781E5A">
      <w:pPr>
        <w:pStyle w:val="Nagwek1"/>
        <w:ind w:left="0" w:firstLine="0"/>
      </w:pPr>
      <w:bookmarkStart w:id="151" w:name="_Toc124769103"/>
      <w:bookmarkStart w:id="152" w:name="_Toc126757465"/>
      <w:bookmarkStart w:id="153" w:name="_Toc130557568"/>
      <w:r w:rsidRPr="00A701C1">
        <w:t>14. Beneficjenci mający siedzibę w krajach trzecich niestowarzyszonych z programem</w:t>
      </w:r>
      <w:bookmarkEnd w:id="149"/>
      <w:bookmarkEnd w:id="150"/>
      <w:bookmarkEnd w:id="151"/>
      <w:bookmarkEnd w:id="152"/>
      <w:bookmarkEnd w:id="153"/>
    </w:p>
    <w:p w14:paraId="4AE18602" w14:textId="6EA44A21" w:rsidR="00781E5A" w:rsidRPr="00395F9C" w:rsidRDefault="00781E5A" w:rsidP="00781E5A">
      <w:pPr>
        <w:spacing w:line="276" w:lineRule="auto"/>
        <w:jc w:val="both"/>
        <w:rPr>
          <w:rFonts w:eastAsia="Calibri"/>
          <w:i/>
          <w:color w:val="00B050"/>
        </w:rPr>
      </w:pPr>
      <w:r w:rsidRPr="00A701C1">
        <w:rPr>
          <w:iCs/>
          <w:color w:val="000000" w:themeColor="text1"/>
        </w:rPr>
        <w:t>Nie dotyczy</w:t>
      </w:r>
      <w:r w:rsidRPr="00395F9C">
        <w:rPr>
          <w:i/>
          <w:color w:val="auto"/>
        </w:rPr>
        <w:t>.</w:t>
      </w:r>
    </w:p>
    <w:p w14:paraId="48DED58A" w14:textId="77777777" w:rsidR="00781E5A" w:rsidRPr="00A701C1" w:rsidRDefault="00781E5A" w:rsidP="00781E5A">
      <w:pPr>
        <w:jc w:val="both"/>
      </w:pPr>
    </w:p>
    <w:p w14:paraId="27B2EEAB" w14:textId="77777777" w:rsidR="00781E5A" w:rsidRPr="00A701C1" w:rsidRDefault="00781E5A" w:rsidP="00781E5A">
      <w:pPr>
        <w:pStyle w:val="Nagwek1"/>
      </w:pPr>
      <w:bookmarkStart w:id="154" w:name="_Toc126757466"/>
      <w:bookmarkStart w:id="155" w:name="_Toc130557569"/>
      <w:bookmarkStart w:id="156" w:name="_Toc124769104"/>
      <w:bookmarkStart w:id="157" w:name="_Toc117591145"/>
      <w:bookmarkStart w:id="158" w:name="_Toc117674767"/>
      <w:bookmarkStart w:id="159" w:name="_Toc117696698"/>
      <w:bookmarkStart w:id="160" w:name="_Toc117699342"/>
      <w:r w:rsidRPr="00A701C1">
        <w:t>15.</w:t>
      </w:r>
      <w:r w:rsidRPr="00A701C1">
        <w:rPr>
          <w:rFonts w:ascii="Times New Roman" w:hAnsi="Times New Roman"/>
          <w:b w:val="0"/>
          <w:i/>
          <w:caps w:val="0"/>
          <w:color w:val="4AA55B"/>
          <w:u w:val="none"/>
        </w:rPr>
        <w:t xml:space="preserve"> </w:t>
      </w:r>
      <w:r w:rsidRPr="00A701C1">
        <w:t>Certyfikat Youthpass</w:t>
      </w:r>
      <w:bookmarkEnd w:id="154"/>
      <w:bookmarkEnd w:id="155"/>
      <w:r w:rsidRPr="00A701C1">
        <w:t xml:space="preserve"> </w:t>
      </w:r>
      <w:bookmarkEnd w:id="156"/>
    </w:p>
    <w:p w14:paraId="05739A72" w14:textId="77777777" w:rsidR="00395F9C" w:rsidRPr="00395F9C" w:rsidRDefault="00395F9C" w:rsidP="00395F9C">
      <w:pPr>
        <w:suppressAutoHyphens/>
        <w:spacing w:after="200" w:line="276" w:lineRule="auto"/>
        <w:jc w:val="both"/>
        <w:rPr>
          <w:rFonts w:eastAsia="Calibri"/>
        </w:rPr>
      </w:pPr>
      <w:bookmarkStart w:id="161" w:name="_Toc126757467"/>
      <w:bookmarkStart w:id="162" w:name="_Toc124769105"/>
      <w:r w:rsidRPr="00395F9C">
        <w:rPr>
          <w:i/>
          <w:color w:val="4AA55B"/>
        </w:rPr>
        <w:t xml:space="preserve">[Wariant w przypadku młodzieży: </w:t>
      </w:r>
      <w:r w:rsidRPr="00395F9C">
        <w:t xml:space="preserve">Beneficjent musi poinformować uczestników biorących udział w projekcie o ich prawie do otrzymania świadectwa </w:t>
      </w:r>
      <w:proofErr w:type="spellStart"/>
      <w:r w:rsidRPr="00395F9C">
        <w:t>Youthpass</w:t>
      </w:r>
      <w:proofErr w:type="spellEnd"/>
      <w:r w:rsidRPr="00395F9C">
        <w:t xml:space="preserve">. </w:t>
      </w:r>
    </w:p>
    <w:p w14:paraId="3EF8CB13" w14:textId="77777777" w:rsidR="00395F9C" w:rsidRPr="00395F9C" w:rsidRDefault="00395F9C" w:rsidP="00395F9C">
      <w:pPr>
        <w:suppressAutoHyphens/>
        <w:spacing w:after="240" w:line="276" w:lineRule="auto"/>
        <w:jc w:val="both"/>
      </w:pPr>
      <w:r w:rsidRPr="00395F9C">
        <w:t xml:space="preserve">Beneficjent będzie wspierał uczestników biorących udział w projekcie w ocenie osiągniętych przez nich efektów uczenia się </w:t>
      </w:r>
      <w:proofErr w:type="spellStart"/>
      <w:r w:rsidRPr="00395F9C">
        <w:t>pozaformalnego</w:t>
      </w:r>
      <w:proofErr w:type="spellEnd"/>
      <w:r w:rsidRPr="00395F9C">
        <w:t xml:space="preserve"> oraz ma obowiązek wydać świadectwo </w:t>
      </w:r>
      <w:proofErr w:type="spellStart"/>
      <w:r w:rsidRPr="00395F9C">
        <w:t>Youthpass</w:t>
      </w:r>
      <w:proofErr w:type="spellEnd"/>
      <w:r w:rsidRPr="00395F9C">
        <w:t xml:space="preserve"> każdemu uczestnikowi, który o nie wystąpi po zakończeniu działania.</w:t>
      </w:r>
      <w:r w:rsidRPr="00395F9C">
        <w:rPr>
          <w:i/>
          <w:iCs/>
          <w:color w:val="00B050"/>
        </w:rPr>
        <w:t>]</w:t>
      </w:r>
    </w:p>
    <w:p w14:paraId="3D9884CC" w14:textId="508BD7D1" w:rsidR="00395F9C" w:rsidRPr="00395F9C" w:rsidRDefault="00395F9C" w:rsidP="00781E5A">
      <w:pPr>
        <w:suppressAutoHyphens/>
        <w:spacing w:after="240" w:line="276" w:lineRule="auto"/>
        <w:jc w:val="both"/>
        <w:rPr>
          <w:i/>
          <w:iCs/>
          <w:color w:val="00B050"/>
        </w:rPr>
      </w:pPr>
      <w:r w:rsidRPr="00395F9C">
        <w:rPr>
          <w:i/>
          <w:iCs/>
          <w:color w:val="00B050"/>
        </w:rPr>
        <w:t>[pozostałe sektory:</w:t>
      </w:r>
    </w:p>
    <w:p w14:paraId="167AE04E" w14:textId="41E2D02E" w:rsidR="00781E5A" w:rsidRPr="00A701C1" w:rsidRDefault="00781E5A" w:rsidP="00781E5A">
      <w:pPr>
        <w:suppressAutoHyphens/>
        <w:spacing w:after="240" w:line="276" w:lineRule="auto"/>
        <w:jc w:val="both"/>
      </w:pPr>
      <w:r w:rsidRPr="00A701C1">
        <w:t>Nie dotyczy.</w:t>
      </w:r>
      <w:r w:rsidR="00395F9C" w:rsidRPr="00395F9C">
        <w:rPr>
          <w:i/>
          <w:iCs/>
          <w:color w:val="00B050"/>
        </w:rPr>
        <w:t>]</w:t>
      </w:r>
    </w:p>
    <w:p w14:paraId="02FBBD12" w14:textId="77777777" w:rsidR="00781E5A" w:rsidRPr="00A701C1" w:rsidRDefault="00781E5A" w:rsidP="00781E5A">
      <w:pPr>
        <w:pStyle w:val="Nagwek1"/>
      </w:pPr>
      <w:bookmarkStart w:id="163" w:name="_Toc130557570"/>
      <w:r w:rsidRPr="00A701C1">
        <w:t>16. Wszelkie dodatkowe postanowienia wymagane prawem krajowym</w:t>
      </w:r>
      <w:bookmarkEnd w:id="161"/>
      <w:bookmarkEnd w:id="163"/>
      <w:r w:rsidRPr="00A701C1">
        <w:t xml:space="preserve"> </w:t>
      </w:r>
    </w:p>
    <w:bookmarkEnd w:id="157"/>
    <w:bookmarkEnd w:id="158"/>
    <w:bookmarkEnd w:id="159"/>
    <w:bookmarkEnd w:id="160"/>
    <w:bookmarkEnd w:id="162"/>
    <w:p w14:paraId="0E911FE1" w14:textId="6099D244" w:rsidR="00781E5A" w:rsidRPr="00BA269E" w:rsidRDefault="00781E5A" w:rsidP="00781E5A">
      <w:pPr>
        <w:sectPr w:rsidR="00781E5A" w:rsidRPr="00BA269E" w:rsidSect="00781E5A">
          <w:headerReference w:type="even" r:id="rId8"/>
          <w:headerReference w:type="default" r:id="rId9"/>
          <w:footerReference w:type="even" r:id="rId10"/>
          <w:footerReference w:type="default" r:id="rId11"/>
          <w:footnotePr>
            <w:numStart w:val="2"/>
          </w:footnotePr>
          <w:pgSz w:w="11900" w:h="16840"/>
          <w:pgMar w:top="1469" w:right="1383" w:bottom="1599" w:left="1388" w:header="0" w:footer="3" w:gutter="0"/>
          <w:cols w:space="720"/>
          <w:noEndnote/>
          <w:docGrid w:linePitch="360"/>
        </w:sectPr>
      </w:pPr>
      <w:r w:rsidRPr="00A701C1">
        <w:t>Nie dotyczy</w:t>
      </w:r>
      <w:r>
        <w:t>.</w:t>
      </w:r>
    </w:p>
    <w:p w14:paraId="27569A57" w14:textId="77777777" w:rsidR="008B48FC" w:rsidRDefault="008B48FC"/>
    <w:sectPr w:rsidR="008B4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6441" w14:textId="77777777" w:rsidR="00835FB3" w:rsidRDefault="00835FB3" w:rsidP="00781E5A">
      <w:r>
        <w:separator/>
      </w:r>
    </w:p>
  </w:endnote>
  <w:endnote w:type="continuationSeparator" w:id="0">
    <w:p w14:paraId="12BF0E29" w14:textId="77777777" w:rsidR="00835FB3" w:rsidRDefault="00835FB3" w:rsidP="0078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8ED2" w14:textId="77777777" w:rsidR="00781E5A" w:rsidRDefault="00781E5A">
    <w:pPr>
      <w:spacing w:line="1" w:lineRule="exact"/>
    </w:pPr>
    <w:r>
      <w:rPr>
        <w:noProof/>
        <w:lang w:val="en-US" w:bidi="ar-SA"/>
      </w:rPr>
      <mc:AlternateContent>
        <mc:Choice Requires="wps">
          <w:drawing>
            <wp:anchor distT="0" distB="0" distL="0" distR="0" simplePos="0" relativeHeight="251662336" behindDoc="1" locked="0" layoutInCell="1" allowOverlap="1" wp14:anchorId="57746061" wp14:editId="26A245DA">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C4340C6" w14:textId="77777777" w:rsidR="00781E5A" w:rsidRDefault="00781E5A">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wps:txbx>
                    <wps:bodyPr wrap="none" lIns="0" tIns="0" rIns="0" bIns="0">
                      <a:spAutoFit/>
                    </wps:bodyPr>
                  </wps:wsp>
                </a:graphicData>
              </a:graphic>
            </wp:anchor>
          </w:drawing>
        </mc:Choice>
        <mc:Fallback>
          <w:pict>
            <v:shapetype w14:anchorId="57746061" id="_x0000_t202" coordsize="21600,21600" o:spt="202" path="m,l,21600r21600,l21600,xe">
              <v:stroke joinstyle="miter"/>
              <v:path gradientshapeok="t" o:connecttype="rect"/>
            </v:shapetype>
            <v:shape id="Shape 212" o:spid="_x0000_s1029" type="#_x0000_t202" style="position:absolute;margin-left:734.45pt;margin-top:515.15pt;width:10.1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ltrdg4UBAAAGAwAADgAAAAAAAAAAAAAAAAAu&#10;AgAAZHJzL2Uyb0RvYy54bWxQSwECLQAUAAYACAAAACEA3PikSeAAAAAPAQAADwAAAAAAAAAAAAAA&#10;AADfAwAAZHJzL2Rvd25yZXYueG1sUEsFBgAAAAAEAAQA8wAAAOwEAAAAAA==&#10;" filled="f" stroked="f">
              <v:textbox style="mso-fit-shape-to-text:t" inset="0,0,0,0">
                <w:txbxContent>
                  <w:p w14:paraId="7C4340C6" w14:textId="77777777" w:rsidR="00781E5A" w:rsidRDefault="00781E5A">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2241186"/>
      <w:docPartObj>
        <w:docPartGallery w:val="Page Numbers (Bottom of Page)"/>
        <w:docPartUnique/>
      </w:docPartObj>
    </w:sdtPr>
    <w:sdtEndPr/>
    <w:sdtContent>
      <w:p w14:paraId="6D84C249" w14:textId="77777777" w:rsidR="004C5362" w:rsidRPr="004C5362" w:rsidRDefault="004C5362">
        <w:pPr>
          <w:pStyle w:val="Stopka"/>
          <w:rPr>
            <w:rFonts w:eastAsiaTheme="majorEastAsia"/>
            <w:sz w:val="20"/>
            <w:szCs w:val="20"/>
          </w:rPr>
        </w:pPr>
        <w:r w:rsidRPr="004C5362">
          <w:rPr>
            <w:rFonts w:eastAsiaTheme="majorEastAsia"/>
            <w:sz w:val="20"/>
            <w:szCs w:val="20"/>
          </w:rPr>
          <w:t xml:space="preserve">str. </w:t>
        </w:r>
        <w:r w:rsidRPr="004C5362">
          <w:rPr>
            <w:rFonts w:eastAsiaTheme="minorEastAsia"/>
            <w:sz w:val="20"/>
            <w:szCs w:val="20"/>
          </w:rPr>
          <w:fldChar w:fldCharType="begin"/>
        </w:r>
        <w:r w:rsidRPr="004C5362">
          <w:rPr>
            <w:sz w:val="20"/>
            <w:szCs w:val="20"/>
          </w:rPr>
          <w:instrText>PAGE    \* MERGEFORMAT</w:instrText>
        </w:r>
        <w:r w:rsidRPr="004C5362">
          <w:rPr>
            <w:rFonts w:eastAsiaTheme="minorEastAsia"/>
            <w:sz w:val="20"/>
            <w:szCs w:val="20"/>
          </w:rPr>
          <w:fldChar w:fldCharType="separate"/>
        </w:r>
        <w:r w:rsidRPr="004C5362">
          <w:rPr>
            <w:rFonts w:eastAsiaTheme="majorEastAsia"/>
            <w:sz w:val="20"/>
            <w:szCs w:val="20"/>
          </w:rPr>
          <w:t>2</w:t>
        </w:r>
        <w:r w:rsidRPr="004C5362">
          <w:rPr>
            <w:rFonts w:eastAsiaTheme="majorEastAsia"/>
            <w:sz w:val="20"/>
            <w:szCs w:val="20"/>
          </w:rPr>
          <w:fldChar w:fldCharType="end"/>
        </w:r>
      </w:p>
      <w:p w14:paraId="4938D675" w14:textId="07BC6B17" w:rsidR="004C5362" w:rsidRDefault="00DF1AD8" w:rsidP="004C5362">
        <w:pPr>
          <w:pStyle w:val="Stopka"/>
          <w:rPr>
            <w:sz w:val="20"/>
            <w:szCs w:val="20"/>
          </w:rPr>
        </w:pPr>
        <w:r>
          <w:rPr>
            <w:sz w:val="20"/>
            <w:szCs w:val="20"/>
          </w:rPr>
          <w:t>[…]</w:t>
        </w:r>
        <w:r w:rsidR="004C5362" w:rsidRPr="00655116">
          <w:rPr>
            <w:sz w:val="20"/>
            <w:szCs w:val="20"/>
          </w:rPr>
          <w:t xml:space="preserve"> – Erasmus+ </w:t>
        </w:r>
      </w:p>
      <w:p w14:paraId="24882D88" w14:textId="317D835B" w:rsidR="004C5362" w:rsidRDefault="004C5362" w:rsidP="004C5362">
        <w:pPr>
          <w:pStyle w:val="Stopka"/>
          <w:rPr>
            <w:sz w:val="20"/>
            <w:szCs w:val="20"/>
          </w:rPr>
        </w:pPr>
        <w:r>
          <w:rPr>
            <w:sz w:val="20"/>
            <w:szCs w:val="20"/>
          </w:rPr>
          <w:t xml:space="preserve">Partnerstwa na małą skalę </w:t>
        </w:r>
        <w:r w:rsidRPr="00655116">
          <w:rPr>
            <w:sz w:val="20"/>
            <w:szCs w:val="20"/>
          </w:rPr>
          <w:t xml:space="preserve"> (</w:t>
        </w:r>
        <w:r>
          <w:rPr>
            <w:sz w:val="20"/>
            <w:szCs w:val="20"/>
          </w:rPr>
          <w:t>KA 210</w:t>
        </w:r>
        <w:r w:rsidRPr="00655116">
          <w:rPr>
            <w:sz w:val="20"/>
            <w:szCs w:val="20"/>
          </w:rPr>
          <w:t xml:space="preserve">) </w:t>
        </w:r>
      </w:p>
      <w:p w14:paraId="17478AE2" w14:textId="77777777" w:rsidR="004C5362" w:rsidRPr="00541016" w:rsidRDefault="004C5362" w:rsidP="004C5362">
        <w:pPr>
          <w:pStyle w:val="Stopka"/>
        </w:pPr>
        <w:r w:rsidRPr="00655116">
          <w:rPr>
            <w:sz w:val="20"/>
            <w:szCs w:val="20"/>
          </w:rPr>
          <w:t>http://erasmusplus.org.pl</w:t>
        </w:r>
      </w:p>
      <w:p w14:paraId="1AC37122" w14:textId="409D4C4B" w:rsidR="004C5362" w:rsidRDefault="008C48F0">
        <w:pPr>
          <w:pStyle w:val="Stopka"/>
        </w:pPr>
      </w:p>
    </w:sdtContent>
  </w:sdt>
  <w:p w14:paraId="7822B6A6" w14:textId="77777777" w:rsidR="00781E5A" w:rsidRDefault="00781E5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6F44" w14:textId="77777777" w:rsidR="00835FB3" w:rsidRDefault="00835FB3" w:rsidP="00781E5A">
      <w:r>
        <w:separator/>
      </w:r>
    </w:p>
  </w:footnote>
  <w:footnote w:type="continuationSeparator" w:id="0">
    <w:p w14:paraId="105EC411" w14:textId="77777777" w:rsidR="00835FB3" w:rsidRDefault="00835FB3" w:rsidP="00781E5A">
      <w:r>
        <w:continuationSeparator/>
      </w:r>
    </w:p>
  </w:footnote>
  <w:footnote w:id="1">
    <w:p w14:paraId="7080A107" w14:textId="77777777" w:rsidR="00781E5A" w:rsidRPr="00BA269E" w:rsidDel="009C1989" w:rsidRDefault="00781E5A" w:rsidP="00781E5A">
      <w:pPr>
        <w:pStyle w:val="Tekstprzypisudolnego"/>
        <w:rPr>
          <w:sz w:val="16"/>
          <w:szCs w:val="16"/>
        </w:rPr>
      </w:pPr>
      <w:r w:rsidRPr="00BA269E">
        <w:rPr>
          <w:rStyle w:val="Voetnoottekens"/>
          <w:sz w:val="16"/>
          <w:szCs w:val="16"/>
        </w:rPr>
        <w:footnoteRef/>
      </w:r>
      <w:r w:rsidRPr="00BA269E">
        <w:t xml:space="preserve"> </w:t>
      </w:r>
      <w:r w:rsidRPr="00BA269E">
        <w:rPr>
          <w:sz w:val="16"/>
        </w:rPr>
        <w:t xml:space="preserve">Licencja otwarta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BACA" w14:textId="77777777" w:rsidR="00781E5A" w:rsidRDefault="00781E5A">
    <w:pPr>
      <w:spacing w:line="1" w:lineRule="exact"/>
    </w:pPr>
    <w:r>
      <w:rPr>
        <w:noProof/>
        <w:lang w:val="en-US" w:bidi="ar-SA"/>
      </w:rPr>
      <mc:AlternateContent>
        <mc:Choice Requires="wps">
          <w:drawing>
            <wp:anchor distT="0" distB="0" distL="0" distR="0" simplePos="0" relativeHeight="251661312" behindDoc="1" locked="0" layoutInCell="1" allowOverlap="1" wp14:anchorId="5570EB02" wp14:editId="67F49646">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1AE736B" w14:textId="77777777" w:rsidR="00781E5A" w:rsidRDefault="00781E5A">
                          <w:pPr>
                            <w:pStyle w:val="Headerorfooter10"/>
                            <w:jc w:val="left"/>
                          </w:pPr>
                        </w:p>
                      </w:txbxContent>
                    </wps:txbx>
                    <wps:bodyPr wrap="none" lIns="0" tIns="0" rIns="0" bIns="0">
                      <a:spAutoFit/>
                    </wps:bodyPr>
                  </wps:wsp>
                </a:graphicData>
              </a:graphic>
            </wp:anchor>
          </w:drawing>
        </mc:Choice>
        <mc:Fallback>
          <w:pict>
            <v:shapetype w14:anchorId="5570EB02" id="_x0000_t202" coordsize="21600,21600" o:spt="202" path="m,l,21600r21600,l21600,xe">
              <v:stroke joinstyle="miter"/>
              <v:path gradientshapeok="t" o:connecttype="rect"/>
            </v:shapetype>
            <v:shape id="Shape 210" o:spid="_x0000_s1026" type="#_x0000_t202" style="position:absolute;margin-left:70.85pt;margin-top:37.55pt;width:276pt;height:9.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" filled="f" stroked="f">
              <v:textbox style="mso-fit-shape-to-text:t" inset="0,0,0,0">
                <w:txbxContent>
                  <w:p w14:paraId="11AE736B" w14:textId="77777777" w:rsidR="00781E5A" w:rsidRDefault="00781E5A">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B1B7" w14:textId="77777777" w:rsidR="00781E5A" w:rsidRDefault="00781E5A">
    <w:pPr>
      <w:spacing w:line="1" w:lineRule="exact"/>
    </w:pPr>
    <w:r>
      <w:rPr>
        <w:noProof/>
        <w:lang w:val="en-US" w:bidi="ar-SA"/>
      </w:rPr>
      <mc:AlternateContent>
        <mc:Choice Requires="wps">
          <w:drawing>
            <wp:anchor distT="0" distB="0" distL="0" distR="0" simplePos="0" relativeHeight="251659264" behindDoc="1" locked="0" layoutInCell="1" allowOverlap="1" wp14:anchorId="2D35E082" wp14:editId="06F2B658">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1D534B" w14:textId="77777777" w:rsidR="00781E5A" w:rsidRDefault="00781E5A">
                          <w:pPr>
                            <w:pStyle w:val="Headerorfooter20"/>
                          </w:pPr>
                        </w:p>
                      </w:txbxContent>
                    </wps:txbx>
                    <wps:bodyPr wrap="none" lIns="0" tIns="0" rIns="0" bIns="0">
                      <a:spAutoFit/>
                    </wps:bodyPr>
                  </wps:wsp>
                </a:graphicData>
              </a:graphic>
            </wp:anchor>
          </w:drawing>
        </mc:Choice>
        <mc:Fallback>
          <w:pict>
            <v:shapetype w14:anchorId="2D35E082" id="_x0000_t202" coordsize="21600,21600" o:spt="202" path="m,l,21600r21600,l21600,xe">
              <v:stroke joinstyle="miter"/>
              <v:path gradientshapeok="t" o:connecttype="rect"/>
            </v:shapetype>
            <v:shape id="Shape 204" o:spid="_x0000_s1027" type="#_x0000_t202" style="position:absolute;margin-left:71.45pt;margin-top:32.45pt;width:276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" filled="f" stroked="f">
              <v:textbox style="mso-fit-shape-to-text:t" inset="0,0,0,0">
                <w:txbxContent>
                  <w:p w14:paraId="361D534B" w14:textId="77777777" w:rsidR="00781E5A" w:rsidRDefault="00781E5A">
                    <w:pPr>
                      <w:pStyle w:val="Headerorfooter20"/>
                    </w:pPr>
                  </w:p>
                </w:txbxContent>
              </v:textbox>
              <w10:wrap anchorx="page" anchory="page"/>
            </v:shape>
          </w:pict>
        </mc:Fallback>
      </mc:AlternateContent>
    </w:r>
    <w:r>
      <w:rPr>
        <w:noProof/>
        <w:lang w:val="en-US" w:bidi="ar-SA"/>
      </w:rPr>
      <mc:AlternateContent>
        <mc:Choice Requires="wps">
          <w:drawing>
            <wp:anchor distT="0" distB="0" distL="0" distR="0" simplePos="0" relativeHeight="251660288" behindDoc="1" locked="0" layoutInCell="1" allowOverlap="1" wp14:anchorId="2849FCA7" wp14:editId="396E4C5D">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14B038E0" w14:textId="77777777" w:rsidR="00781E5A" w:rsidRPr="002140D1" w:rsidRDefault="00781E5A">
                          <w:pPr>
                            <w:pStyle w:val="Headerorfooter20"/>
                            <w:rPr>
                              <w:lang w:val="fr-BE"/>
                            </w:rPr>
                          </w:pPr>
                        </w:p>
                      </w:txbxContent>
                    </wps:txbx>
                    <wps:bodyPr wrap="none" lIns="0" tIns="0" rIns="0" bIns="0">
                      <a:spAutoFit/>
                    </wps:bodyPr>
                  </wps:wsp>
                </a:graphicData>
              </a:graphic>
            </wp:anchor>
          </w:drawing>
        </mc:Choice>
        <mc:Fallback>
          <w:pict>
            <v:shape w14:anchorId="2849FCA7" id="Shape 206" o:spid="_x0000_s1028" type="#_x0000_t202" style="position:absolute;margin-left:198.4pt;margin-top:54.05pt;width:325.7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nGhwEAAAc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dzCU0G1Lf0wJr7uiFcdY9OvIn7XqXhF2y3CaJA/3tRySeTJ/Av6C2&#10;nOR2VrV9GWmd38/51uH9zj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9yFZxocBAAAHAwAADgAAAAAAAAAAAAAAAAAu&#10;AgAAZHJzL2Uyb0RvYy54bWxQSwECLQAUAAYACAAAACEA2FjKa94AAAAMAQAADwAAAAAAAAAAAAAA&#10;AADhAwAAZHJzL2Rvd25yZXYueG1sUEsFBgAAAAAEAAQA8wAAAOwEAAAAAA==&#10;" filled="f" stroked="f">
              <v:textbox style="mso-fit-shape-to-text:t" inset="0,0,0,0">
                <w:txbxContent>
                  <w:p w14:paraId="14B038E0" w14:textId="77777777" w:rsidR="00781E5A" w:rsidRPr="002140D1" w:rsidRDefault="00781E5A">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90361"/>
    <w:multiLevelType w:val="multilevel"/>
    <w:tmpl w:val="942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979261145">
    <w:abstractNumId w:val="2"/>
  </w:num>
  <w:num w:numId="2" w16cid:durableId="256062856">
    <w:abstractNumId w:val="0"/>
  </w:num>
  <w:num w:numId="3" w16cid:durableId="183221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5A"/>
    <w:rsid w:val="00030547"/>
    <w:rsid w:val="0011643B"/>
    <w:rsid w:val="002403C4"/>
    <w:rsid w:val="00334928"/>
    <w:rsid w:val="00365DFC"/>
    <w:rsid w:val="00395F9C"/>
    <w:rsid w:val="004C5362"/>
    <w:rsid w:val="005227AC"/>
    <w:rsid w:val="00591E35"/>
    <w:rsid w:val="005E0397"/>
    <w:rsid w:val="00762AEC"/>
    <w:rsid w:val="00781E5A"/>
    <w:rsid w:val="007A73BE"/>
    <w:rsid w:val="00835FB3"/>
    <w:rsid w:val="00897EA7"/>
    <w:rsid w:val="008B48FC"/>
    <w:rsid w:val="008E5A86"/>
    <w:rsid w:val="009237BB"/>
    <w:rsid w:val="009C5835"/>
    <w:rsid w:val="00A17361"/>
    <w:rsid w:val="00A45F97"/>
    <w:rsid w:val="00B323D5"/>
    <w:rsid w:val="00C20364"/>
    <w:rsid w:val="00C86446"/>
    <w:rsid w:val="00CE5AE6"/>
    <w:rsid w:val="00D04D4C"/>
    <w:rsid w:val="00D12EB8"/>
    <w:rsid w:val="00D45E13"/>
    <w:rsid w:val="00D561CA"/>
    <w:rsid w:val="00DB336A"/>
    <w:rsid w:val="00DD2C7F"/>
    <w:rsid w:val="00DF1AD8"/>
    <w:rsid w:val="00F77555"/>
    <w:rsid w:val="107028BB"/>
    <w:rsid w:val="13954DF6"/>
    <w:rsid w:val="176E9C3B"/>
    <w:rsid w:val="2ADA355A"/>
    <w:rsid w:val="2B77F33E"/>
    <w:rsid w:val="34341E7A"/>
    <w:rsid w:val="375FF2E0"/>
    <w:rsid w:val="4696E7AE"/>
    <w:rsid w:val="51D4F2E5"/>
    <w:rsid w:val="5EE50341"/>
    <w:rsid w:val="7C6A1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9E1B"/>
  <w15:chartTrackingRefBased/>
  <w15:docId w15:val="{89E7A86D-0B3C-42B4-8202-A27C629C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95F9C"/>
    <w:pPr>
      <w:widowControl w:val="0"/>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Nagwek1">
    <w:name w:val="heading 1"/>
    <w:basedOn w:val="Normalny"/>
    <w:next w:val="Normalny"/>
    <w:link w:val="Nagwek1Znak"/>
    <w:uiPriority w:val="9"/>
    <w:qFormat/>
    <w:rsid w:val="00781E5A"/>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Nagwek2">
    <w:name w:val="heading 2"/>
    <w:basedOn w:val="Normalny"/>
    <w:next w:val="Normalny"/>
    <w:link w:val="Nagwek2Znak"/>
    <w:uiPriority w:val="9"/>
    <w:unhideWhenUsed/>
    <w:qFormat/>
    <w:rsid w:val="00781E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781E5A"/>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1E5A"/>
    <w:rPr>
      <w:rFonts w:ascii="Times New Roman Bold" w:eastAsiaTheme="majorEastAsia" w:hAnsi="Times New Roman Bold" w:cstheme="majorBidi"/>
      <w:b/>
      <w:bCs/>
      <w:caps/>
      <w:kern w:val="0"/>
      <w:sz w:val="24"/>
      <w:szCs w:val="28"/>
      <w:u w:val="single"/>
      <w14:ligatures w14:val="none"/>
    </w:rPr>
  </w:style>
  <w:style w:type="character" w:customStyle="1" w:styleId="Nagwek2Znak">
    <w:name w:val="Nagłówek 2 Znak"/>
    <w:basedOn w:val="Domylnaczcionkaakapitu"/>
    <w:link w:val="Nagwek2"/>
    <w:uiPriority w:val="9"/>
    <w:rsid w:val="00781E5A"/>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erorfooter2">
    <w:name w:val="Header or footer|2_"/>
    <w:basedOn w:val="Domylnaczcionkaakapitu"/>
    <w:link w:val="Headerorfooter20"/>
    <w:rsid w:val="00781E5A"/>
    <w:rPr>
      <w:sz w:val="20"/>
      <w:szCs w:val="20"/>
    </w:rPr>
  </w:style>
  <w:style w:type="paragraph" w:customStyle="1" w:styleId="Headerorfooter20">
    <w:name w:val="Header or footer|2"/>
    <w:basedOn w:val="Normalny"/>
    <w:link w:val="Headerorfooter2"/>
    <w:rsid w:val="00781E5A"/>
    <w:rPr>
      <w:rFonts w:asciiTheme="minorHAnsi" w:eastAsiaTheme="minorHAnsi" w:hAnsiTheme="minorHAnsi" w:cstheme="minorBidi"/>
      <w:color w:val="auto"/>
      <w:kern w:val="2"/>
      <w:sz w:val="20"/>
      <w:szCs w:val="20"/>
      <w:lang w:bidi="ar-SA"/>
      <w14:ligatures w14:val="standardContextual"/>
    </w:rPr>
  </w:style>
  <w:style w:type="character" w:customStyle="1" w:styleId="Headerorfooter1">
    <w:name w:val="Header or footer|1_"/>
    <w:basedOn w:val="Domylnaczcionkaakapitu"/>
    <w:link w:val="Headerorfooter10"/>
    <w:rsid w:val="00781E5A"/>
    <w:rPr>
      <w:sz w:val="20"/>
      <w:szCs w:val="20"/>
    </w:rPr>
  </w:style>
  <w:style w:type="paragraph" w:customStyle="1" w:styleId="Headerorfooter10">
    <w:name w:val="Header or footer|1"/>
    <w:basedOn w:val="Normalny"/>
    <w:link w:val="Headerorfooter1"/>
    <w:rsid w:val="00781E5A"/>
    <w:pPr>
      <w:jc w:val="right"/>
    </w:pPr>
    <w:rPr>
      <w:rFonts w:asciiTheme="minorHAnsi" w:eastAsiaTheme="minorHAnsi" w:hAnsiTheme="minorHAnsi" w:cstheme="minorBidi"/>
      <w:color w:val="auto"/>
      <w:kern w:val="2"/>
      <w:sz w:val="20"/>
      <w:szCs w:val="20"/>
      <w:lang w:bidi="ar-SA"/>
      <w14:ligatures w14:val="standardContextual"/>
    </w:rPr>
  </w:style>
  <w:style w:type="paragraph" w:styleId="Akapitzlist">
    <w:name w:val="List Paragraph"/>
    <w:basedOn w:val="Normalny"/>
    <w:link w:val="AkapitzlistZnak"/>
    <w:uiPriority w:val="34"/>
    <w:qFormat/>
    <w:rsid w:val="00781E5A"/>
    <w:pPr>
      <w:ind w:left="720"/>
      <w:contextualSpacing/>
    </w:pPr>
  </w:style>
  <w:style w:type="character" w:customStyle="1" w:styleId="AkapitzlistZnak">
    <w:name w:val="Akapit z listą Znak"/>
    <w:link w:val="Akapitzlist"/>
    <w:uiPriority w:val="34"/>
    <w:rsid w:val="00781E5A"/>
    <w:rPr>
      <w:rFonts w:ascii="Times New Roman" w:eastAsia="Times New Roman" w:hAnsi="Times New Roman" w:cs="Times New Roman"/>
      <w:color w:val="000000"/>
      <w:kern w:val="0"/>
      <w:sz w:val="24"/>
      <w:szCs w:val="24"/>
      <w:lang w:bidi="en-US"/>
      <w14:ligatures w14:val="none"/>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781E5A"/>
    <w:pPr>
      <w:widowControl/>
      <w:ind w:left="284" w:hanging="284"/>
      <w:jc w:val="both"/>
    </w:pPr>
    <w:rPr>
      <w:color w:val="auto"/>
      <w:sz w:val="20"/>
      <w:szCs w:val="20"/>
      <w:lang w:eastAsia="zh-CN" w:bidi="ar-SA"/>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781E5A"/>
    <w:rPr>
      <w:rFonts w:ascii="Times New Roman" w:eastAsia="Times New Roman" w:hAnsi="Times New Roman" w:cs="Times New Roman"/>
      <w:kern w:val="0"/>
      <w:sz w:val="20"/>
      <w:szCs w:val="20"/>
      <w:lang w:eastAsia="zh-CN"/>
      <w14:ligatures w14:val="none"/>
    </w:rPr>
  </w:style>
  <w:style w:type="character" w:styleId="Hipercze">
    <w:name w:val="Hyperlink"/>
    <w:uiPriority w:val="99"/>
    <w:unhideWhenUsed/>
    <w:qFormat/>
    <w:rsid w:val="00781E5A"/>
    <w:rPr>
      <w:color w:val="0088CC"/>
      <w:u w:val="single"/>
    </w:rPr>
  </w:style>
  <w:style w:type="character" w:customStyle="1" w:styleId="Voetnoottekens">
    <w:name w:val="Voetnoottekens"/>
    <w:rsid w:val="00781E5A"/>
    <w:rPr>
      <w:vertAlign w:val="superscript"/>
    </w:rPr>
  </w:style>
  <w:style w:type="paragraph" w:customStyle="1" w:styleId="Annex">
    <w:name w:val="Annex"/>
    <w:basedOn w:val="Nagwek6"/>
    <w:qFormat/>
    <w:rsid w:val="00781E5A"/>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character" w:customStyle="1" w:styleId="normaltextrun">
    <w:name w:val="normaltextrun"/>
    <w:basedOn w:val="Domylnaczcionkaakapitu"/>
    <w:rsid w:val="00781E5A"/>
  </w:style>
  <w:style w:type="character" w:customStyle="1" w:styleId="eop">
    <w:name w:val="eop"/>
    <w:basedOn w:val="Domylnaczcionkaakapitu"/>
    <w:rsid w:val="00781E5A"/>
  </w:style>
  <w:style w:type="paragraph" w:customStyle="1" w:styleId="paragraph">
    <w:name w:val="paragraph"/>
    <w:basedOn w:val="Normalny"/>
    <w:rsid w:val="00781E5A"/>
    <w:pPr>
      <w:widowControl/>
      <w:spacing w:before="100" w:beforeAutospacing="1" w:after="100" w:afterAutospacing="1"/>
    </w:pPr>
    <w:rPr>
      <w:color w:val="auto"/>
      <w:lang w:eastAsia="pl-PL" w:bidi="ar-SA"/>
    </w:rPr>
  </w:style>
  <w:style w:type="character" w:customStyle="1" w:styleId="Nagwek6Znak">
    <w:name w:val="Nagłówek 6 Znak"/>
    <w:basedOn w:val="Domylnaczcionkaakapitu"/>
    <w:link w:val="Nagwek6"/>
    <w:uiPriority w:val="9"/>
    <w:semiHidden/>
    <w:rsid w:val="00781E5A"/>
    <w:rPr>
      <w:rFonts w:asciiTheme="majorHAnsi" w:eastAsiaTheme="majorEastAsia" w:hAnsiTheme="majorHAnsi" w:cstheme="majorBidi"/>
      <w:color w:val="1F3763" w:themeColor="accent1" w:themeShade="7F"/>
      <w:kern w:val="0"/>
      <w:sz w:val="24"/>
      <w:szCs w:val="24"/>
      <w:lang w:bidi="en-US"/>
      <w14:ligatures w14:val="none"/>
    </w:rPr>
  </w:style>
  <w:style w:type="paragraph" w:styleId="Nagwek">
    <w:name w:val="header"/>
    <w:basedOn w:val="Normalny"/>
    <w:link w:val="NagwekZnak"/>
    <w:uiPriority w:val="99"/>
    <w:unhideWhenUsed/>
    <w:rsid w:val="004C5362"/>
    <w:pPr>
      <w:tabs>
        <w:tab w:val="center" w:pos="4536"/>
        <w:tab w:val="right" w:pos="9072"/>
      </w:tabs>
    </w:pPr>
  </w:style>
  <w:style w:type="character" w:customStyle="1" w:styleId="NagwekZnak">
    <w:name w:val="Nagłówek Znak"/>
    <w:basedOn w:val="Domylnaczcionkaakapitu"/>
    <w:link w:val="Nagwek"/>
    <w:uiPriority w:val="99"/>
    <w:rsid w:val="004C5362"/>
    <w:rPr>
      <w:rFonts w:ascii="Times New Roman" w:eastAsia="Times New Roman" w:hAnsi="Times New Roman" w:cs="Times New Roman"/>
      <w:color w:val="000000"/>
      <w:kern w:val="0"/>
      <w:sz w:val="24"/>
      <w:szCs w:val="24"/>
      <w:lang w:bidi="en-US"/>
      <w14:ligatures w14:val="none"/>
    </w:rPr>
  </w:style>
  <w:style w:type="paragraph" w:styleId="Stopka">
    <w:name w:val="footer"/>
    <w:basedOn w:val="Normalny"/>
    <w:link w:val="StopkaZnak"/>
    <w:uiPriority w:val="99"/>
    <w:unhideWhenUsed/>
    <w:rsid w:val="004C5362"/>
    <w:pPr>
      <w:tabs>
        <w:tab w:val="center" w:pos="4536"/>
        <w:tab w:val="right" w:pos="9072"/>
      </w:tabs>
    </w:pPr>
  </w:style>
  <w:style w:type="character" w:customStyle="1" w:styleId="StopkaZnak">
    <w:name w:val="Stopka Znak"/>
    <w:basedOn w:val="Domylnaczcionkaakapitu"/>
    <w:link w:val="Stopka"/>
    <w:uiPriority w:val="99"/>
    <w:rsid w:val="004C5362"/>
    <w:rPr>
      <w:rFonts w:ascii="Times New Roman" w:eastAsia="Times New Roman" w:hAnsi="Times New Roman" w:cs="Times New Roman"/>
      <w:color w:val="000000"/>
      <w:kern w:val="0"/>
      <w:sz w:val="24"/>
      <w:szCs w:val="24"/>
      <w:lang w:bidi="en-US"/>
      <w14:ligatures w14:val="none"/>
    </w:rPr>
  </w:style>
  <w:style w:type="paragraph" w:styleId="Poprawka">
    <w:name w:val="Revision"/>
    <w:hidden/>
    <w:uiPriority w:val="99"/>
    <w:semiHidden/>
    <w:rsid w:val="00DF1AD8"/>
    <w:pPr>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color w:val="000000"/>
      <w:kern w:val="0"/>
      <w:sz w:val="20"/>
      <w:szCs w:val="20"/>
      <w:lang w:bidi="en-US"/>
      <w14:ligatures w14:val="no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77555"/>
    <w:rPr>
      <w:b/>
      <w:bCs/>
    </w:rPr>
  </w:style>
  <w:style w:type="character" w:customStyle="1" w:styleId="TematkomentarzaZnak">
    <w:name w:val="Temat komentarza Znak"/>
    <w:basedOn w:val="TekstkomentarzaZnak"/>
    <w:link w:val="Tematkomentarza"/>
    <w:uiPriority w:val="99"/>
    <w:semiHidden/>
    <w:rsid w:val="00F77555"/>
    <w:rPr>
      <w:rFonts w:ascii="Times New Roman" w:eastAsia="Times New Roman" w:hAnsi="Times New Roman" w:cs="Times New Roman"/>
      <w:b/>
      <w:bCs/>
      <w:color w:val="000000"/>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11428</Characters>
  <Application>Microsoft Office Word</Application>
  <DocSecurity>0</DocSecurity>
  <Lines>95</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Barbara Drzewicka</cp:lastModifiedBy>
  <cp:revision>2</cp:revision>
  <cp:lastPrinted>2023-09-25T19:48:00Z</cp:lastPrinted>
  <dcterms:created xsi:type="dcterms:W3CDTF">2024-08-13T13:11:00Z</dcterms:created>
  <dcterms:modified xsi:type="dcterms:W3CDTF">2024-08-13T13:11:00Z</dcterms:modified>
</cp:coreProperties>
</file>