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6367" w14:textId="77777777" w:rsidR="005347A3" w:rsidRPr="005347A3" w:rsidRDefault="005347A3" w:rsidP="000F2275">
      <w:pPr>
        <w:keepNext/>
        <w:keepLines/>
        <w:tabs>
          <w:tab w:val="left" w:pos="4962"/>
        </w:tabs>
        <w:spacing w:before="200" w:after="60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5347A3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ZAŁĄCZNIK 2 – Postanowienia mające zastosowanie do kosztów kwalifikowalnych </w:t>
      </w:r>
    </w:p>
    <w:p w14:paraId="55E31446" w14:textId="77777777" w:rsidR="005347A3" w:rsidRPr="005347A3" w:rsidRDefault="005347A3" w:rsidP="005347A3">
      <w:pPr>
        <w:keepNext/>
        <w:keepLines/>
        <w:spacing w:before="200" w:after="60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5347A3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HED KA131</w:t>
      </w:r>
    </w:p>
    <w:p w14:paraId="038DA191" w14:textId="77777777" w:rsidR="005347A3" w:rsidRPr="005347A3" w:rsidRDefault="005347A3" w:rsidP="005347A3">
      <w:pPr>
        <w:keepNext/>
        <w:keepLines/>
        <w:numPr>
          <w:ilvl w:val="0"/>
          <w:numId w:val="14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 xml:space="preserve">Wkłady jednostkowe </w:t>
      </w:r>
    </w:p>
    <w:p w14:paraId="26A8B3D5" w14:textId="28BCA510" w:rsidR="00A17081" w:rsidRDefault="00A17081" w:rsidP="0E90DD3B">
      <w:pPr>
        <w:spacing w:after="20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1.1 </w:t>
      </w:r>
      <w:r w:rsidR="0072236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Dofinansowanie kosztów podróży</w:t>
      </w:r>
    </w:p>
    <w:p w14:paraId="6B7BECDF" w14:textId="7ADA602E" w:rsidR="005347A3" w:rsidRPr="005347A3" w:rsidRDefault="005347A3" w:rsidP="0E90DD3B">
      <w:pPr>
        <w:spacing w:after="20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E90DD3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Miejsce pochodzenia</w:t>
      </w:r>
      <w:r w:rsidRPr="0E90DD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miejsce, w którym znajduje się organizacja wysyłająca</w:t>
      </w:r>
      <w:r w:rsidRPr="005347A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C3B25DE" w14:textId="171ED4FF" w:rsidR="005347A3" w:rsidRPr="005347A3" w:rsidRDefault="005347A3" w:rsidP="005347A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Zrównoważone środki transportu: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rower, autobus, car-</w:t>
      </w:r>
      <w:proofErr w:type="spellStart"/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pooling</w:t>
      </w:r>
      <w:proofErr w:type="spellEnd"/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i pociąg. Agencja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n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arodowa może uznać inne środki transportu za zrównoważone w oparciu o utrwaloną praktykę, indywidualnie dla każdego przypadku. </w:t>
      </w:r>
    </w:p>
    <w:p w14:paraId="54287D0E" w14:textId="0BF843BD" w:rsidR="005347A3" w:rsidRPr="005347A3" w:rsidRDefault="005347A3" w:rsidP="005347A3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Wkład jednostkowy na </w:t>
      </w:r>
      <w:r w:rsidR="005D36A0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dofinansowanie</w:t>
      </w:r>
      <w:r w:rsidR="005D36A0" w:rsidRPr="005347A3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</w:t>
      </w:r>
      <w:r w:rsidRPr="005347A3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kosztów podróży zrównoważonymi środkami transportu (podróż z wykorzystaniem ekologicznych środków transportu) jest kwalifikowalny, jeżeli większość podróży w obie strony odbyto zrównoważonymi środkami transportu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(pod względem przebytej odległości)</w:t>
      </w:r>
      <w:r w:rsidRPr="005347A3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.</w:t>
      </w:r>
    </w:p>
    <w:p w14:paraId="30525FE6" w14:textId="14DE0A37" w:rsidR="005347A3" w:rsidRPr="005347A3" w:rsidRDefault="005347A3" w:rsidP="005347A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Wkład jednostkowy w przeliczeniu na przedział odległości</w:t>
      </w:r>
      <w:r w:rsidRPr="005347A3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kwota </w:t>
      </w:r>
      <w:r w:rsidR="00AE7BE8">
        <w:rPr>
          <w:rFonts w:ascii="Times New Roman" w:eastAsia="Calibri" w:hAnsi="Times New Roman" w:cs="Times New Roman"/>
          <w:kern w:val="0"/>
          <w:sz w:val="24"/>
          <w14:ligatures w14:val="none"/>
        </w:rPr>
        <w:t>przewidziana</w:t>
      </w:r>
      <w:r w:rsidR="00AE7BE8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za podróż w obie strony między miejscem wyjazdu a miejscem przyjazdu.</w:t>
      </w:r>
    </w:p>
    <w:p w14:paraId="1FC39F2A" w14:textId="3724A60B" w:rsidR="005347A3" w:rsidRPr="005347A3" w:rsidRDefault="005347A3" w:rsidP="005347A3">
      <w:pPr>
        <w:spacing w:after="2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31B1035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Miejsce działania</w:t>
      </w:r>
      <w:r w:rsidRPr="005347A3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Pr="31B10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miejsce, w którym znajduje się organizacja przyjmująca</w:t>
      </w:r>
      <w:r w:rsidRPr="005347A3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31B10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przypadku zgłoszenia innego miejsca </w:t>
      </w:r>
      <w:r w:rsidRPr="78ACBCC8">
        <w:rPr>
          <w:rFonts w:ascii="Times New Roman" w:eastAsia="Calibri" w:hAnsi="Times New Roman" w:cs="Times New Roman"/>
          <w:sz w:val="24"/>
          <w:szCs w:val="24"/>
        </w:rPr>
        <w:t xml:space="preserve">pochodzenia </w:t>
      </w:r>
      <w:r w:rsidR="31B10357" w:rsidRPr="31B10357">
        <w:rPr>
          <w:rFonts w:ascii="Times New Roman" w:eastAsia="Calibri" w:hAnsi="Times New Roman" w:cs="Times New Roman"/>
          <w:sz w:val="24"/>
          <w:szCs w:val="24"/>
        </w:rPr>
        <w:t>lub miejsca działania beneficjent musi uzasadnić taką zmianę.</w:t>
      </w:r>
    </w:p>
    <w:p w14:paraId="2EBDC9FA" w14:textId="253A8FB6" w:rsidR="005347A3" w:rsidRPr="005347A3" w:rsidRDefault="005347A3" w:rsidP="0E90DD3B">
      <w:pPr>
        <w:spacing w:after="20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E90DD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Czas podróży nie będzie brany pod uwagę przy ustalaniu zgodności z minimalnym kwalifikowalnym czasem trwania  mobilności określonym w przewodniku po programie. </w:t>
      </w:r>
    </w:p>
    <w:p w14:paraId="051F106D" w14:textId="77777777" w:rsidR="005347A3" w:rsidRPr="005347A3" w:rsidRDefault="005347A3" w:rsidP="005347A3">
      <w:pPr>
        <w:suppressAutoHyphens/>
        <w:spacing w:line="276" w:lineRule="auto"/>
        <w:ind w:left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a) Obliczanie całkowitego wkładu jednostkowego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13C5E211" w14:textId="5D37AD75" w:rsidR="005347A3" w:rsidRPr="005347A3" w:rsidRDefault="005347A3" w:rsidP="005347A3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na </w:t>
      </w:r>
      <w:r w:rsidR="00C83E9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dofinansowanie kosztów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podróży oblicza się, mnożąc liczbę uczestników w danym przedziale odległości przez wkład jednostkowy mający zastosowanie do danego przedziału odległości i rodzaju podróży (z wykorzystaniem </w:t>
      </w:r>
      <w:r w:rsidR="00AE7BE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lub bez wykorzystania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ekologicznych środków transportu), jak określono w załączniku 3 do umowy. </w:t>
      </w:r>
    </w:p>
    <w:p w14:paraId="0EBDC968" w14:textId="3C063799" w:rsidR="00AE7BE8" w:rsidRPr="00AE7BE8" w:rsidRDefault="005347A3" w:rsidP="00AE7BE8">
      <w:pPr>
        <w:suppressAutoHyphens/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Aby ustalić odpowiedni przedział odległości, beneficjent wskazuje odległość pokonywaną podczas podróży w jedną stronę, obliczoną za pomocą kalkulatora odległości </w:t>
      </w:r>
      <w:r w:rsidR="00A61920" w:rsidRPr="7F8D5879">
        <w:rPr>
          <w:rFonts w:ascii="Times New Roman" w:eastAsia="Calibri" w:hAnsi="Times New Roman" w:cs="Times New Roman"/>
          <w:sz w:val="24"/>
          <w:szCs w:val="24"/>
        </w:rPr>
        <w:t xml:space="preserve">online </w:t>
      </w: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dostępnego na stronie internetowej Komisji pod adresem:</w:t>
      </w:r>
      <w:r w:rsidRPr="005347A3">
        <w:rPr>
          <w:rFonts w:ascii="Calibri" w:eastAsia="Calibri" w:hAnsi="Calibri" w:cs="Times New Roman"/>
          <w:kern w:val="0"/>
          <w14:ligatures w14:val="none"/>
        </w:rPr>
        <w:t xml:space="preserve"> </w:t>
      </w:r>
      <w:hyperlink r:id="rId7" w:history="1">
        <w:r w:rsidR="00AE7BE8" w:rsidRPr="00AE7BE8">
          <w:rPr>
            <w:rStyle w:val="Hipercze"/>
            <w:rFonts w:ascii="Calibri" w:eastAsia="Calibri" w:hAnsi="Calibri" w:cs="Times New Roman"/>
            <w:kern w:val="0"/>
            <w14:ligatures w14:val="none"/>
          </w:rPr>
          <w:t>http://ec.europa.eu/programmes/erasmus-plus/tools/distance_en.htm</w:t>
        </w:r>
      </w:hyperlink>
    </w:p>
    <w:p w14:paraId="729DA6AB" w14:textId="5176B9E5" w:rsidR="005347A3" w:rsidRPr="005347A3" w:rsidRDefault="005347A3" w:rsidP="005347A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Beneficjent oblicza całkowity wkład jednostkowy na </w:t>
      </w:r>
      <w:r w:rsidR="008C4D17">
        <w:rPr>
          <w:rFonts w:ascii="Times New Roman" w:eastAsia="Calibri" w:hAnsi="Times New Roman" w:cs="Times New Roman"/>
          <w:kern w:val="0"/>
          <w:sz w:val="24"/>
          <w14:ligatures w14:val="none"/>
        </w:rPr>
        <w:t>dofinansowanie kosztów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podróży za pośrednictwem narzędzia sprawozdawczości i zarządzania programem Erasmus+ na podstawie mających zastosowanie stawek wkładu jednostkowego. </w:t>
      </w:r>
    </w:p>
    <w:p w14:paraId="250FE94E" w14:textId="77777777" w:rsidR="005347A3" w:rsidRPr="005347A3" w:rsidRDefault="005347A3" w:rsidP="005347A3">
      <w:pPr>
        <w:numPr>
          <w:ilvl w:val="0"/>
          <w:numId w:val="7"/>
        </w:num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</w:t>
      </w:r>
    </w:p>
    <w:p w14:paraId="6E76207D" w14:textId="14669ECB" w:rsidR="005347A3" w:rsidRPr="005347A3" w:rsidRDefault="0094513E" w:rsidP="005347A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39ABEFBA">
        <w:rPr>
          <w:rFonts w:ascii="Times New Roman" w:eastAsia="Calibri" w:hAnsi="Times New Roman" w:cs="Times New Roman"/>
          <w:sz w:val="24"/>
          <w:szCs w:val="24"/>
        </w:rPr>
        <w:t xml:space="preserve">Dofinansowanie kosztów </w:t>
      </w:r>
      <w:r w:rsidR="005347A3" w:rsidRPr="39ABE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podróży </w:t>
      </w:r>
      <w:r w:rsidRPr="39ABEFBA">
        <w:rPr>
          <w:rFonts w:ascii="Times New Roman" w:eastAsia="Calibri" w:hAnsi="Times New Roman" w:cs="Times New Roman"/>
          <w:sz w:val="24"/>
          <w:szCs w:val="24"/>
        </w:rPr>
        <w:t xml:space="preserve">jest kwalifikowalne (uprawnione) </w:t>
      </w:r>
      <w:r w:rsidR="005347A3" w:rsidRPr="39ABE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wtedy, gdy uczestnik faktycznie podjął działanie.</w:t>
      </w:r>
    </w:p>
    <w:p w14:paraId="44C93C5E" w14:textId="77777777" w:rsidR="005347A3" w:rsidRPr="005347A3" w:rsidRDefault="005347A3" w:rsidP="005347A3">
      <w:pPr>
        <w:suppressAutoHyphens/>
        <w:spacing w:after="0" w:line="100" w:lineRule="atLeast"/>
        <w:ind w:left="502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71DBDC8" w14:textId="77777777" w:rsidR="005347A3" w:rsidRPr="00227870" w:rsidRDefault="005347A3" w:rsidP="005347A3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14:ligatures w14:val="none"/>
        </w:rPr>
        <w:t>Dokumenty potwierdzające</w:t>
      </w:r>
    </w:p>
    <w:p w14:paraId="576246CF" w14:textId="77777777" w:rsidR="005347A3" w:rsidRDefault="005347A3" w:rsidP="005347A3">
      <w:p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14:ligatures w14:val="none"/>
        </w:rPr>
      </w:pPr>
    </w:p>
    <w:p w14:paraId="7A5F60E6" w14:textId="7F810FE8" w:rsidR="005347A3" w:rsidRPr="005347A3" w:rsidRDefault="0062003A" w:rsidP="005347A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7F8D5879">
        <w:rPr>
          <w:rFonts w:ascii="Times New Roman" w:eastAsia="Calibri" w:hAnsi="Times New Roman" w:cs="Arial"/>
          <w:color w:val="000000" w:themeColor="text1"/>
          <w:sz w:val="24"/>
          <w:szCs w:val="24"/>
        </w:rPr>
        <w:t>Dokumentem potwierdzającym w</w:t>
      </w:r>
      <w:r w:rsidR="005347A3" w:rsidRPr="39ABEFBA"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  <w:t xml:space="preserve"> przypadku </w:t>
      </w:r>
      <w:r w:rsidR="008814B1" w:rsidRPr="39ABEFBA"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  <w:t>pracowników</w:t>
      </w:r>
      <w:r w:rsidR="0052408A" w:rsidRPr="7F8D5879">
        <w:rPr>
          <w:rFonts w:ascii="Times New Roman" w:eastAsia="Calibri" w:hAnsi="Times New Roman" w:cs="Arial"/>
          <w:color w:val="000000" w:themeColor="text1"/>
          <w:sz w:val="24"/>
          <w:szCs w:val="24"/>
        </w:rPr>
        <w:t xml:space="preserve"> (kadry)</w:t>
      </w:r>
      <w:r w:rsidR="001214F0">
        <w:rPr>
          <w:rFonts w:ascii="Times New Roman" w:eastAsia="Calibri" w:hAnsi="Times New Roman" w:cs="Arial"/>
          <w:color w:val="000000" w:themeColor="text1"/>
          <w:sz w:val="24"/>
          <w:szCs w:val="24"/>
        </w:rPr>
        <w:t xml:space="preserve"> jest</w:t>
      </w:r>
      <w:r w:rsidR="005347A3" w:rsidRPr="39ABEFBA"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  <w:t>: oświadczenie podpisane przez organizację przyjmującą,</w:t>
      </w:r>
      <w:r w:rsidR="005347A3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 obejmujące również </w:t>
      </w:r>
      <w:r w:rsidR="00D549E7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komponent</w:t>
      </w:r>
      <w:r w:rsidR="005347A3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 wirtualn</w:t>
      </w:r>
      <w:r w:rsidR="00D549E7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y</w:t>
      </w:r>
      <w:r w:rsidR="005347A3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 w</w:t>
      </w:r>
      <w:r w:rsidR="670B289D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 </w:t>
      </w:r>
      <w:r w:rsidR="005347A3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przypadku mobilności mieszanej</w:t>
      </w:r>
      <w:r w:rsidR="005347A3" w:rsidRPr="39ABEFBA"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  <w:t>, w</w:t>
      </w:r>
      <w:r w:rsidR="5B4970EF" w:rsidRPr="39ABEFBA"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  <w:t xml:space="preserve"> </w:t>
      </w:r>
      <w:r w:rsidR="005347A3" w:rsidRPr="39ABEFBA"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  <w:t>którym wyszczególniono imię i nazwisko uczestnika, cel działania, a także potwierdzone daty rozpoczęcia i zakończenia mobilności fizycznej.</w:t>
      </w:r>
    </w:p>
    <w:p w14:paraId="3542F560" w14:textId="5B49DE8E" w:rsidR="005347A3" w:rsidRPr="00227870" w:rsidRDefault="0052408A" w:rsidP="39ABEFBA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7F8D5879">
        <w:rPr>
          <w:rFonts w:ascii="Times New Roman" w:eastAsia="Calibri" w:hAnsi="Times New Roman" w:cs="Arial"/>
          <w:color w:val="000000" w:themeColor="text1"/>
          <w:sz w:val="24"/>
          <w:szCs w:val="24"/>
        </w:rPr>
        <w:t xml:space="preserve">Dokumentem potwierdzającym w przypadku </w:t>
      </w:r>
      <w:r w:rsidR="005347A3" w:rsidRPr="39ABEFBA"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  <w:t>studentów</w:t>
      </w:r>
      <w:r w:rsidR="008D4D7E" w:rsidRPr="7F8D5879">
        <w:rPr>
          <w:rFonts w:ascii="Times New Roman" w:eastAsia="Calibri" w:hAnsi="Times New Roman" w:cs="Arial"/>
          <w:color w:val="000000" w:themeColor="text1"/>
          <w:sz w:val="24"/>
          <w:szCs w:val="24"/>
        </w:rPr>
        <w:t xml:space="preserve"> jest</w:t>
      </w:r>
      <w:r w:rsidR="00F13C7C">
        <w:rPr>
          <w:rFonts w:ascii="Times New Roman" w:eastAsia="Calibri" w:hAnsi="Times New Roman" w:cs="Arial"/>
          <w:color w:val="000000" w:themeColor="text1"/>
          <w:sz w:val="24"/>
          <w:szCs w:val="24"/>
        </w:rPr>
        <w:t>:</w:t>
      </w:r>
      <w:r w:rsidR="005347A3" w:rsidRPr="39ABEFBA"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  <w:t xml:space="preserve"> dokument potwierdzający wydany przez</w:t>
      </w:r>
      <w:r w:rsidR="005347A3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 organizację przyjmującą, obejmujący również </w:t>
      </w:r>
      <w:r w:rsidR="00D549E7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komponent</w:t>
      </w:r>
      <w:r w:rsidR="005347A3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 wirtualn</w:t>
      </w:r>
      <w:r w:rsidR="00D549E7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y</w:t>
      </w:r>
      <w:r w:rsidR="005347A3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 w przypadku mobilności mieszanej, </w:t>
      </w:r>
      <w:r w:rsidR="00D549E7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w którym wyszczególniono i</w:t>
      </w:r>
      <w:r w:rsidR="005347A3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mię i nazwisko studenta</w:t>
      </w:r>
      <w:r w:rsidR="00D549E7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 oraz </w:t>
      </w:r>
      <w:r w:rsidR="005347A3" w:rsidRPr="39ABEFBA"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  <w:t>potwierdzone</w:t>
      </w:r>
      <w:r w:rsidR="005347A3" w:rsidRPr="39ABEFBA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 daty rozpoczęcia i zakończenia mobilności fizycznej w następującym formacie:</w:t>
      </w:r>
    </w:p>
    <w:p w14:paraId="64CC456E" w14:textId="77777777" w:rsidR="005347A3" w:rsidRPr="005347A3" w:rsidRDefault="005347A3" w:rsidP="005347A3">
      <w:pPr>
        <w:numPr>
          <w:ilvl w:val="0"/>
          <w:numId w:val="4"/>
        </w:numPr>
        <w:suppressAutoHyphens/>
        <w:spacing w:after="0" w:line="276" w:lineRule="auto"/>
        <w:ind w:left="851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Arial"/>
          <w:kern w:val="0"/>
          <w:sz w:val="24"/>
          <w14:ligatures w14:val="none"/>
        </w:rPr>
        <w:t>wykaz zaliczeń (lub dołączone oświadczenie (zaświadczenie o obecności)) w przypadku mobilności w celu odbycia studiów;</w:t>
      </w:r>
    </w:p>
    <w:p w14:paraId="0B9079D6" w14:textId="77777777" w:rsidR="005347A3" w:rsidRPr="005347A3" w:rsidRDefault="005347A3" w:rsidP="005347A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09EB74C" w14:textId="616F6ED1" w:rsidR="005347A3" w:rsidRPr="005347A3" w:rsidRDefault="005347A3" w:rsidP="005347A3">
      <w:pPr>
        <w:numPr>
          <w:ilvl w:val="0"/>
          <w:numId w:val="4"/>
        </w:numPr>
        <w:suppressAutoHyphens/>
        <w:spacing w:after="0" w:line="276" w:lineRule="auto"/>
        <w:ind w:left="851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Arial"/>
          <w:kern w:val="0"/>
          <w:sz w:val="24"/>
          <w14:ligatures w14:val="none"/>
        </w:rPr>
        <w:t>świadectwo odbycia praktyki/stażu (lub dołączone oświadczenie (zaświadczenie o obecności)) w przypadku mobilności w celu odbycia praktyki/stażu.</w:t>
      </w:r>
    </w:p>
    <w:p w14:paraId="6B4A2232" w14:textId="77777777" w:rsidR="005347A3" w:rsidRPr="005347A3" w:rsidRDefault="005347A3" w:rsidP="005347A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:lang w:eastAsia="ar-SA"/>
          <w14:ligatures w14:val="none"/>
        </w:rPr>
      </w:pPr>
    </w:p>
    <w:p w14:paraId="160EBA53" w14:textId="2DC2DAAE" w:rsidR="005347A3" w:rsidRPr="005347A3" w:rsidRDefault="005347A3" w:rsidP="005347A3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39ABEF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Ponadto, oprócz dokumentów potwierdzających,</w:t>
      </w:r>
      <w:r w:rsidR="00D549E7" w:rsidRPr="39ABEF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wskazanych powyżej,</w:t>
      </w:r>
      <w:r w:rsidRPr="39ABEF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w przypadku korzystania ze zrównoważonych środków transportu (podróż z wykorzystaniem ekologicznych środków transportu)</w:t>
      </w:r>
      <w:r w:rsidR="69D0B579" w:rsidRPr="39ABEF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39ABEF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dokumentem potwierdzającym będzie oświadczenie podpisane przez osobę otrzymującą </w:t>
      </w:r>
      <w:r w:rsidR="004407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dofinansowanie</w:t>
      </w:r>
      <w:r w:rsidR="004407E9" w:rsidRPr="39ABEF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39ABEF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na pokrycie kosztów podróży. </w:t>
      </w:r>
    </w:p>
    <w:p w14:paraId="4E0ECAC2" w14:textId="77777777" w:rsidR="005347A3" w:rsidRPr="005347A3" w:rsidRDefault="005347A3" w:rsidP="005347A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:lang w:eastAsia="ar-SA"/>
          <w14:ligatures w14:val="none"/>
        </w:rPr>
      </w:pPr>
    </w:p>
    <w:p w14:paraId="28854EB1" w14:textId="27538BEC" w:rsidR="005347A3" w:rsidRPr="005347A3" w:rsidRDefault="005347A3" w:rsidP="005347A3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Jeżeli miejsce rozpoczęcia podróży jest inne niż miejsce pochodzenia lub miejsce zakończenia podróży jest inne niż miejsce działania, beneficjent musi zgłosić przyczynę tej różnicy. W przypadku gdy podróż nie odbyła się lub </w:t>
      </w:r>
      <w:r w:rsidR="0097192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gdy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została sfinansowana ze źródeł innych niż program Erasmus+, beneficjent wskazuje w swoim sprawozdaniu, że </w:t>
      </w:r>
      <w:r w:rsidR="00971926">
        <w:rPr>
          <w:rFonts w:ascii="Times New Roman" w:eastAsia="Calibri" w:hAnsi="Times New Roman" w:cs="Times New Roman"/>
          <w:kern w:val="0"/>
          <w:sz w:val="24"/>
          <w14:ligatures w14:val="none"/>
        </w:rPr>
        <w:t>dofinansowanie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kosztów podróży nie jest wymagane.</w:t>
      </w:r>
    </w:p>
    <w:p w14:paraId="1D28AA74" w14:textId="77777777" w:rsidR="005347A3" w:rsidRPr="005347A3" w:rsidRDefault="005347A3" w:rsidP="005347A3">
      <w:pPr>
        <w:keepNext/>
        <w:keepLines/>
        <w:spacing w:before="240" w:after="200" w:line="240" w:lineRule="auto"/>
        <w:jc w:val="both"/>
        <w:outlineLvl w:val="1"/>
        <w:rPr>
          <w:rFonts w:ascii="Times New Roman Bold" w:eastAsia="Calibri" w:hAnsi="Times New Roman Bold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1.2 Wsparcie indywidualne</w:t>
      </w:r>
    </w:p>
    <w:p w14:paraId="3C1FE8ED" w14:textId="77777777" w:rsidR="005347A3" w:rsidRPr="005347A3" w:rsidRDefault="005347A3" w:rsidP="005347A3">
      <w:pPr>
        <w:numPr>
          <w:ilvl w:val="0"/>
          <w:numId w:val="8"/>
        </w:num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: </w:t>
      </w:r>
    </w:p>
    <w:p w14:paraId="2F379C33" w14:textId="1424016A" w:rsidR="005347A3" w:rsidRPr="005347A3" w:rsidRDefault="39136DB8" w:rsidP="005347A3">
      <w:pPr>
        <w:tabs>
          <w:tab w:val="num" w:pos="567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7870">
        <w:rPr>
          <w:rFonts w:ascii="Times New Roman" w:eastAsia="Calibri" w:hAnsi="Times New Roman" w:cs="Times New Roman"/>
          <w:sz w:val="24"/>
          <w:szCs w:val="24"/>
          <w:u w:val="single"/>
        </w:rPr>
        <w:t>W przypadku studentów</w:t>
      </w:r>
      <w:r w:rsidRPr="39136DB8">
        <w:rPr>
          <w:rFonts w:ascii="Times New Roman" w:eastAsia="Calibri" w:hAnsi="Times New Roman" w:cs="Times New Roman"/>
          <w:sz w:val="24"/>
          <w:szCs w:val="24"/>
        </w:rPr>
        <w:t>: c</w:t>
      </w:r>
      <w:r w:rsidR="005347A3" w:rsidRPr="39136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ałkowity wkład jednostkowy oblicza się, mnożąc liczbę dni/miesięcy obecności</w:t>
      </w:r>
      <w:r w:rsidRPr="39136DB8">
        <w:rPr>
          <w:rFonts w:ascii="Times New Roman" w:eastAsia="Calibri" w:hAnsi="Times New Roman" w:cs="Times New Roman"/>
          <w:sz w:val="24"/>
          <w:szCs w:val="24"/>
        </w:rPr>
        <w:t xml:space="preserve"> fizycznej</w:t>
      </w:r>
      <w:r w:rsidR="005347A3" w:rsidRPr="39136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danego studenta przez wkład jednostkowy</w:t>
      </w:r>
      <w:r w:rsidRPr="39136DB8">
        <w:rPr>
          <w:rFonts w:ascii="Times New Roman" w:eastAsia="Calibri" w:hAnsi="Times New Roman" w:cs="Times New Roman"/>
          <w:sz w:val="24"/>
          <w:szCs w:val="24"/>
        </w:rPr>
        <w:t>,</w:t>
      </w:r>
      <w:r w:rsidR="005347A3" w:rsidRPr="39136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mający zastosowanie w </w:t>
      </w:r>
      <w:r w:rsidR="005347A3" w:rsidRPr="39136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przeliczeniu na dzień/miesiąc w danym kraju przyjmującym, jak określono w załączniku 3 do umowy. Można dodać</w:t>
      </w:r>
      <w:r w:rsidR="00227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dofinansowanie</w:t>
      </w:r>
      <w:r w:rsidR="005347A3" w:rsidRPr="39136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dni podróży, jeżeli są one </w:t>
      </w:r>
      <w:r w:rsidRPr="39136DB8">
        <w:rPr>
          <w:rFonts w:ascii="Times New Roman" w:eastAsia="Calibri" w:hAnsi="Times New Roman" w:cs="Times New Roman"/>
          <w:sz w:val="24"/>
          <w:szCs w:val="24"/>
        </w:rPr>
        <w:t xml:space="preserve">istotne </w:t>
      </w:r>
      <w:r w:rsidR="005347A3" w:rsidRPr="39136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dla danego działania, jak określono w załączniku 3. </w:t>
      </w:r>
    </w:p>
    <w:p w14:paraId="03700AAD" w14:textId="56C5BE71" w:rsidR="005347A3" w:rsidRPr="005347A3" w:rsidRDefault="00DD0A70" w:rsidP="005347A3">
      <w:pPr>
        <w:tabs>
          <w:tab w:val="num" w:pos="567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Dla mobilności długoterminowej w przypadku niepełnego miesiąca</w:t>
      </w:r>
      <w:r w:rsidR="005347A3"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kwotę całkowitego wkładu jednostkowego oblicza się, mnożąc liczbę dni niepełnego miesiąca przez 1/30 wysokości wkładu jednostkowego na miesiąc, w tym dopłaty uzupełniające.</w:t>
      </w:r>
    </w:p>
    <w:p w14:paraId="7C564086" w14:textId="77777777" w:rsidR="005347A3" w:rsidRPr="005347A3" w:rsidRDefault="005347A3" w:rsidP="005347A3">
      <w:pPr>
        <w:tabs>
          <w:tab w:val="num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Studenci i niedawni absolwenci przynależący do grupy o mniejszych szansach, którzy uczestniczą w mobilności, muszą otrzymać dopłatę uzupełniającą do wsparcia indywidualnego w przypadku mniejszych szans, jeżeli spełniają kryteria kwalifikowalności ustanowione na szczeblu krajowym.</w:t>
      </w:r>
    </w:p>
    <w:p w14:paraId="13F63EEE" w14:textId="7ADDC1FD" w:rsidR="005347A3" w:rsidRPr="005347A3" w:rsidRDefault="005347A3" w:rsidP="03BA9B75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</w:t>
      </w:r>
      <w:r w:rsidR="03BA9B75" w:rsidRPr="03BA9B75">
        <w:rPr>
          <w:rFonts w:ascii="Times New Roman" w:eastAsia="Calibri" w:hAnsi="Times New Roman" w:cs="Times New Roman"/>
          <w:sz w:val="24"/>
          <w:szCs w:val="24"/>
        </w:rPr>
        <w:t xml:space="preserve"> długo</w:t>
      </w:r>
      <w:r w:rsidR="00DD0A70">
        <w:rPr>
          <w:rFonts w:ascii="Times New Roman" w:eastAsia="Calibri" w:hAnsi="Times New Roman" w:cs="Times New Roman"/>
          <w:sz w:val="24"/>
          <w:szCs w:val="24"/>
        </w:rPr>
        <w:t>terminowej</w:t>
      </w: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mobilności studentów szkół wyższych </w:t>
      </w:r>
      <w:r w:rsidR="004407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ramach celu odbycia praktyki/stażu</w:t>
      </w:r>
      <w:r w:rsidR="03BA9B75" w:rsidRPr="03BA9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pomiędzy państwami członkowskimi UE i państwami trzecimi stowarzyszonymi z programem a państwami trzecimi niestowarzyszonych z programem z regionów 13 i 14 studenci i niedawni absolwenci muszą </w:t>
      </w:r>
      <w:r w:rsidR="00DD0A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otrzymać</w:t>
      </w:r>
      <w:r w:rsidR="00DD0A70"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miesięczną dopłatę uzupełniającą na </w:t>
      </w:r>
      <w:r w:rsidR="03BA9B75" w:rsidRPr="03BA9B75">
        <w:rPr>
          <w:rFonts w:ascii="Times New Roman" w:eastAsia="Calibri" w:hAnsi="Times New Roman" w:cs="Times New Roman"/>
          <w:sz w:val="24"/>
          <w:szCs w:val="24"/>
        </w:rPr>
        <w:t xml:space="preserve">staże </w:t>
      </w: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ramach wsparcia indywidualnego.</w:t>
      </w:r>
    </w:p>
    <w:p w14:paraId="68D8F9D0" w14:textId="161269B1" w:rsidR="005347A3" w:rsidRPr="005347A3" w:rsidRDefault="005347A3" w:rsidP="03BA9B75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Dopłaty uzupełniające na </w:t>
      </w:r>
      <w:r w:rsidR="004407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praktyki/</w:t>
      </w:r>
      <w:r w:rsidR="03BA9B75" w:rsidRPr="03BA9B75">
        <w:rPr>
          <w:rFonts w:ascii="Times New Roman" w:eastAsia="Calibri" w:hAnsi="Times New Roman" w:cs="Times New Roman"/>
          <w:sz w:val="24"/>
          <w:szCs w:val="24"/>
        </w:rPr>
        <w:t>staże</w:t>
      </w: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</w:t>
      </w:r>
      <w:bookmarkStart w:id="0" w:name="_Hlk167117167"/>
      <w:r w:rsidR="00B55945" w:rsidRPr="00B5594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tytułu przynależności </w:t>
      </w:r>
      <w:r w:rsidR="00171D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</w:t>
      </w:r>
      <w:r w:rsidR="00B55945" w:rsidRPr="00B5594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grupy osób z mniejszymi szansami</w:t>
      </w:r>
      <w:bookmarkEnd w:id="0"/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327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kumulują się</w:t>
      </w: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przypadku długoterminowej mobilności studentów pomiędzy państwami członkowskimi UE i państwami trzecimi stowarzyszonymi z programem a państwami trzecimi niestowarzyszonymi z programem z regionów 13 i 14. </w:t>
      </w:r>
    </w:p>
    <w:p w14:paraId="50C87C62" w14:textId="1CDCBE77" w:rsidR="005347A3" w:rsidRPr="005347A3" w:rsidRDefault="005347A3" w:rsidP="005347A3">
      <w:pPr>
        <w:tabs>
          <w:tab w:val="num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Daty rozpoczęcia i zakończenia </w:t>
      </w:r>
      <w:r w:rsidR="007256F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używane do obliczenia wsparcia indywidualnego zostaną obliczone następująco</w:t>
      </w:r>
      <w:r w:rsidRPr="005347A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: </w:t>
      </w:r>
    </w:p>
    <w:p w14:paraId="3658AA7F" w14:textId="5B83A183" w:rsidR="005347A3" w:rsidRPr="005347A3" w:rsidRDefault="005347A3" w:rsidP="005347A3">
      <w:pPr>
        <w:numPr>
          <w:ilvl w:val="0"/>
          <w:numId w:val="5"/>
        </w:numPr>
        <w:tabs>
          <w:tab w:val="num" w:pos="567"/>
          <w:tab w:val="left" w:pos="993"/>
        </w:tabs>
        <w:suppressAutoHyphens/>
        <w:spacing w:after="240" w:line="276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datą rozpoczęcia powinien być pierwszy dzień, w którym student musi być</w:t>
      </w:r>
      <w:r w:rsidR="007256F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fizycznie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obecny w organizacji przyjmującej (pierwsze zajęcia, pierwszy dzień w pracy, pierwszy dzień </w:t>
      </w:r>
      <w:r w:rsidR="00B55945">
        <w:rPr>
          <w:rFonts w:ascii="Times New Roman" w:eastAsia="Calibri" w:hAnsi="Times New Roman" w:cs="Times New Roman"/>
          <w:kern w:val="0"/>
          <w:sz w:val="24"/>
          <w14:ligatures w14:val="none"/>
        </w:rPr>
        <w:t>spotkania powitalnego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lub kursów językowych i międzykulturowych);</w:t>
      </w:r>
    </w:p>
    <w:p w14:paraId="02919D63" w14:textId="2A78D886" w:rsidR="005347A3" w:rsidRPr="00227870" w:rsidRDefault="005347A3" w:rsidP="005347A3">
      <w:pPr>
        <w:numPr>
          <w:ilvl w:val="0"/>
          <w:numId w:val="5"/>
        </w:numPr>
        <w:tabs>
          <w:tab w:val="num" w:pos="567"/>
          <w:tab w:val="left" w:pos="993"/>
        </w:tabs>
        <w:suppressAutoHyphens/>
        <w:spacing w:after="240" w:line="276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datą zakończenia powinien być ostatni dzień, w którym student musi być</w:t>
      </w:r>
      <w:r w:rsidR="007256F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fizycznie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obecny w organizacji przyjmującej (ostatni dzień sesji egzaminacyjnej, zajęć, pracy lub okresu </w:t>
      </w:r>
      <w:r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obowiązkowego pobytu). </w:t>
      </w:r>
    </w:p>
    <w:p w14:paraId="4A57C7D2" w14:textId="558863EE" w:rsidR="00D327B3" w:rsidRPr="00227870" w:rsidRDefault="39136DB8" w:rsidP="39136DB8">
      <w:pPr>
        <w:pStyle w:val="pf0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 w:rsidRPr="00227870">
        <w:rPr>
          <w:rStyle w:val="cf01"/>
          <w:rFonts w:ascii="Times New Roman" w:eastAsiaTheme="majorEastAsia" w:hAnsi="Times New Roman" w:cs="Times New Roman"/>
          <w:sz w:val="24"/>
          <w:szCs w:val="24"/>
          <w:u w:val="single"/>
        </w:rPr>
        <w:t>W przypadku pracowników</w:t>
      </w:r>
      <w:r w:rsidR="00EF55AF">
        <w:rPr>
          <w:rStyle w:val="cf01"/>
          <w:rFonts w:ascii="Times New Roman" w:eastAsiaTheme="majorEastAsia" w:hAnsi="Times New Roman" w:cs="Times New Roman"/>
          <w:sz w:val="24"/>
          <w:szCs w:val="24"/>
          <w:u w:val="single"/>
        </w:rPr>
        <w:t xml:space="preserve"> (kadry)</w:t>
      </w:r>
      <w:r w:rsidRPr="00227870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: całkowity wkład jednostkowy oblicza się mnożąc liczbę dni fizycznej obecności danego pracownika przez wkład jednostkowy, mający zastosowanie w przeliczeniu na dzień w danym kraju przyjmującym, jak określono w załączniku 3 do umowy. Można dodać finansowane dni podróży, jeżeli są one istotne dla danego działania, jak określono w załączniku 3. </w:t>
      </w:r>
    </w:p>
    <w:p w14:paraId="6E965A99" w14:textId="2867FFD9" w:rsidR="00D327B3" w:rsidRPr="00227870" w:rsidRDefault="39136DB8" w:rsidP="7F8D5879">
      <w:pPr>
        <w:pStyle w:val="pf0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 w:rsidRPr="7F8D5879">
        <w:rPr>
          <w:rStyle w:val="cf01"/>
          <w:rFonts w:ascii="Times New Roman" w:eastAsiaTheme="majorEastAsia" w:hAnsi="Times New Roman" w:cs="Times New Roman"/>
          <w:sz w:val="24"/>
          <w:szCs w:val="24"/>
        </w:rPr>
        <w:t>W przypadku mobilności z częściowym dofinansowaniem („</w:t>
      </w:r>
      <w:proofErr w:type="spellStart"/>
      <w:r w:rsidRPr="7F8D5879">
        <w:rPr>
          <w:rStyle w:val="cf01"/>
          <w:rFonts w:ascii="Times New Roman" w:eastAsiaTheme="majorEastAsia" w:hAnsi="Times New Roman" w:cs="Times New Roman"/>
          <w:i/>
          <w:iCs/>
          <w:sz w:val="24"/>
          <w:szCs w:val="24"/>
        </w:rPr>
        <w:t>partial</w:t>
      </w:r>
      <w:proofErr w:type="spellEnd"/>
      <w:r w:rsidRPr="7F8D5879">
        <w:rPr>
          <w:rStyle w:val="cf01"/>
          <w:rFonts w:ascii="Times New Roman" w:eastAsiaTheme="majorEastAsia" w:hAnsi="Times New Roman" w:cs="Times New Roman"/>
          <w:i/>
          <w:iCs/>
          <w:sz w:val="24"/>
          <w:szCs w:val="24"/>
        </w:rPr>
        <w:t xml:space="preserve"> zero-grant </w:t>
      </w:r>
      <w:proofErr w:type="spellStart"/>
      <w:r w:rsidRPr="7F8D5879">
        <w:rPr>
          <w:rStyle w:val="cf01"/>
          <w:rFonts w:ascii="Times New Roman" w:eastAsiaTheme="majorEastAsia" w:hAnsi="Times New Roman" w:cs="Times New Roman"/>
          <w:i/>
          <w:iCs/>
          <w:sz w:val="24"/>
          <w:szCs w:val="24"/>
        </w:rPr>
        <w:t>mobility</w:t>
      </w:r>
      <w:proofErr w:type="spellEnd"/>
      <w:r w:rsidRPr="7F8D5879">
        <w:rPr>
          <w:rStyle w:val="cf01"/>
          <w:rFonts w:ascii="Times New Roman" w:eastAsiaTheme="majorEastAsia" w:hAnsi="Times New Roman" w:cs="Times New Roman"/>
          <w:sz w:val="24"/>
          <w:szCs w:val="24"/>
        </w:rPr>
        <w:t>”) uczestnicy muszą otrzymać wsparcie indywidualne przez minimalny czas trwania fizycznej mobilności, z wyjątkiem mobilności w pełni niefinansowanej („mobilność z dofinansowaniem zerowym”).</w:t>
      </w:r>
    </w:p>
    <w:p w14:paraId="67F344A4" w14:textId="53A619D5" w:rsidR="005347A3" w:rsidRPr="005347A3" w:rsidRDefault="005347A3" w:rsidP="005347A3">
      <w:pPr>
        <w:tabs>
          <w:tab w:val="num" w:pos="0"/>
          <w:tab w:val="left" w:pos="851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b/>
          <w:color w:val="000000"/>
          <w:kern w:val="0"/>
          <w:sz w:val="24"/>
          <w14:ligatures w14:val="none"/>
        </w:rPr>
        <w:lastRenderedPageBreak/>
        <w:t>Zmiany okresu pobytu w przypadku studentów i</w:t>
      </w:r>
      <w:r w:rsidR="008814B1">
        <w:rPr>
          <w:rFonts w:ascii="Times New Roman" w:eastAsia="Calibri" w:hAnsi="Times New Roman" w:cs="Times New Roman"/>
          <w:b/>
          <w:color w:val="000000"/>
          <w:kern w:val="0"/>
          <w:sz w:val="24"/>
          <w14:ligatures w14:val="none"/>
        </w:rPr>
        <w:t xml:space="preserve"> pracowników</w:t>
      </w:r>
      <w:r w:rsidR="00980CE4">
        <w:rPr>
          <w:rFonts w:ascii="Times New Roman" w:eastAsia="Calibri" w:hAnsi="Times New Roman" w:cs="Times New Roman"/>
          <w:b/>
          <w:color w:val="000000"/>
          <w:kern w:val="0"/>
          <w:sz w:val="24"/>
          <w14:ligatures w14:val="none"/>
        </w:rPr>
        <w:t xml:space="preserve"> (kadry)</w:t>
      </w:r>
      <w:r w:rsidRPr="005347A3">
        <w:rPr>
          <w:rFonts w:ascii="Times New Roman" w:eastAsia="Calibri" w:hAnsi="Times New Roman" w:cs="Times New Roman"/>
          <w:b/>
          <w:color w:val="000000"/>
          <w:kern w:val="0"/>
          <w:sz w:val="24"/>
          <w14:ligatures w14:val="none"/>
        </w:rPr>
        <w:t>:</w:t>
      </w:r>
    </w:p>
    <w:p w14:paraId="7A9D339F" w14:textId="46441AA4" w:rsidR="005347A3" w:rsidRPr="005347A3" w:rsidRDefault="005347A3" w:rsidP="39ABEFBA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39ABE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Jeżeli </w:t>
      </w:r>
      <w:r w:rsidRPr="39ABEF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spodziewany okres pobytu jest dłuższy niż wskazano w umowie</w:t>
      </w:r>
      <w:r w:rsidR="00171D34" w:rsidRPr="39ABEF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pomiędzy beneficjentem a uczestnikiem mobilności </w:t>
      </w:r>
      <w:r w:rsidRPr="39ABE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beneficjent</w:t>
      </w:r>
      <w:r w:rsidR="008C46BE" w:rsidRPr="0D27FBFC">
        <w:rPr>
          <w:rFonts w:ascii="Times New Roman" w:eastAsia="Calibri" w:hAnsi="Times New Roman" w:cs="Times New Roman"/>
          <w:sz w:val="24"/>
          <w:szCs w:val="24"/>
        </w:rPr>
        <w:t xml:space="preserve"> na wniosek </w:t>
      </w:r>
      <w:r w:rsidR="004407E9">
        <w:rPr>
          <w:rFonts w:ascii="Times New Roman" w:eastAsia="Calibri" w:hAnsi="Times New Roman" w:cs="Times New Roman"/>
          <w:sz w:val="24"/>
          <w:szCs w:val="24"/>
        </w:rPr>
        <w:t>uczestnika</w:t>
      </w:r>
      <w:r w:rsidRPr="39ABE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7BD2581D" w14:textId="77777777" w:rsidR="005347A3" w:rsidRPr="005347A3" w:rsidRDefault="005347A3" w:rsidP="005347A3">
      <w:pPr>
        <w:tabs>
          <w:tab w:val="num" w:pos="0"/>
          <w:tab w:val="left" w:pos="993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F8B4C64" w14:textId="73BD2BFD" w:rsidR="005347A3" w:rsidRPr="005347A3" w:rsidRDefault="005347A3" w:rsidP="39ABEFBA">
      <w:pPr>
        <w:numPr>
          <w:ilvl w:val="0"/>
          <w:numId w:val="5"/>
        </w:numPr>
        <w:tabs>
          <w:tab w:val="num" w:pos="567"/>
          <w:tab w:val="left" w:pos="993"/>
        </w:tabs>
        <w:suppressAutoHyphens/>
        <w:spacing w:after="240" w:line="276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39ABE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zmieni</w:t>
      </w:r>
      <w:r w:rsidR="008C46BE" w:rsidRPr="7F8D5879">
        <w:rPr>
          <w:rFonts w:ascii="Times New Roman" w:eastAsia="Calibri" w:hAnsi="Times New Roman" w:cs="Times New Roman"/>
          <w:sz w:val="24"/>
          <w:szCs w:val="24"/>
        </w:rPr>
        <w:t>a</w:t>
      </w:r>
      <w:r w:rsidR="004407E9">
        <w:rPr>
          <w:rFonts w:ascii="Times New Roman" w:eastAsia="Calibri" w:hAnsi="Times New Roman" w:cs="Times New Roman"/>
          <w:sz w:val="24"/>
          <w:szCs w:val="24"/>
        </w:rPr>
        <w:t>(aneksuje)</w:t>
      </w:r>
      <w:r w:rsidRPr="39ABE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umowę </w:t>
      </w:r>
      <w:r w:rsidR="00171D34" w:rsidRPr="39ABE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pomiędzy beneficjentem a uczestnikiem programu Erasmus</w:t>
      </w:r>
      <w:r w:rsidR="00171D34" w:rsidRPr="39ABEF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+</w:t>
      </w:r>
      <w:r w:rsidRPr="39ABE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podczas okresu mobilności, aby uwzględnić dłuższy czas trwania, jeżeli pozwala na to pozostała kwota dotacji</w:t>
      </w:r>
    </w:p>
    <w:p w14:paraId="2DFE7BE9" w14:textId="3B4D7748" w:rsidR="005347A3" w:rsidRPr="005347A3" w:rsidRDefault="005347A3" w:rsidP="7F8D5879">
      <w:pPr>
        <w:numPr>
          <w:ilvl w:val="0"/>
          <w:numId w:val="5"/>
        </w:numPr>
        <w:tabs>
          <w:tab w:val="num" w:pos="567"/>
          <w:tab w:val="left" w:pos="993"/>
        </w:tabs>
        <w:suppressAutoHyphens/>
        <w:spacing w:after="240" w:line="276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albo </w:t>
      </w:r>
      <w:r w:rsidR="00CD4065" w:rsidRPr="7F8D5879">
        <w:rPr>
          <w:rFonts w:ascii="Times New Roman" w:eastAsia="Calibri" w:hAnsi="Times New Roman" w:cs="Times New Roman"/>
          <w:sz w:val="24"/>
          <w:szCs w:val="24"/>
        </w:rPr>
        <w:t xml:space="preserve">uzgadnia </w:t>
      </w: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uczestnikiem podczas okresu mobilności, że dodatkowa liczba dni będzie traktowana jako okres</w:t>
      </w:r>
      <w:r w:rsidR="00F61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 </w:t>
      </w: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F61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dofinansowaniem zerowym</w:t>
      </w: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”. </w:t>
      </w:r>
    </w:p>
    <w:p w14:paraId="16E45C7C" w14:textId="77777777" w:rsidR="005347A3" w:rsidRPr="005347A3" w:rsidRDefault="005347A3" w:rsidP="005347A3">
      <w:pPr>
        <w:tabs>
          <w:tab w:val="num" w:pos="0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Po zakończeniu okresu mobilności nie można zwiększyć kwoty dotacji.</w:t>
      </w:r>
    </w:p>
    <w:p w14:paraId="51BCB56C" w14:textId="7C1F0B88" w:rsidR="005347A3" w:rsidRPr="005347A3" w:rsidRDefault="005347A3" w:rsidP="39ABEFBA">
      <w:pPr>
        <w:tabs>
          <w:tab w:val="left" w:pos="993"/>
        </w:tabs>
        <w:suppressAutoHyphens/>
        <w:spacing w:after="240" w:line="100" w:lineRule="atLeast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39ABE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Jeżeli </w:t>
      </w:r>
      <w:r w:rsidRPr="39ABEF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potwierdzony okres pobytu jest dłuższy niż wskazano w umowie </w:t>
      </w:r>
      <w:r w:rsidR="002571D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pomiędzy beneficjentem a uczestnikiem mobilności </w:t>
      </w:r>
      <w:r w:rsidR="00CD4065" w:rsidRPr="7F8D5879">
        <w:rPr>
          <w:rFonts w:ascii="Times New Roman" w:eastAsia="Calibri" w:hAnsi="Times New Roman" w:cs="Times New Roman"/>
          <w:b/>
          <w:bCs/>
          <w:sz w:val="24"/>
          <w:szCs w:val="24"/>
        </w:rPr>
        <w:t>i umowa ta nie została zmieniona, by uwzględnić przedłużenie okresu pobytu</w:t>
      </w:r>
      <w:r w:rsidRPr="39ABE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dodatkowe dni traktuje się jako okres </w:t>
      </w:r>
      <w:r w:rsidR="00F61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</w:t>
      </w:r>
      <w:r w:rsidRPr="39ABE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F61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dofinansowaniem zerowym</w:t>
      </w:r>
      <w:r w:rsidRPr="39ABE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”.</w:t>
      </w:r>
    </w:p>
    <w:p w14:paraId="4F88C8CD" w14:textId="4E0A6ACC" w:rsidR="005347A3" w:rsidRPr="005347A3" w:rsidRDefault="005347A3" w:rsidP="7F8D5879">
      <w:pPr>
        <w:tabs>
          <w:tab w:val="left" w:pos="993"/>
        </w:tabs>
        <w:suppressAutoHyphens/>
        <w:spacing w:after="240" w:line="100" w:lineRule="atLeast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</w:t>
      </w:r>
      <w:r w:rsidRPr="7F8D5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długoterminowej mobilności studentów</w:t>
      </w: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bez uszczerbku dla obowiązku przestrzegania minimalnego kwalifikowalnego czasu trwania pobytu, jeżeli </w:t>
      </w:r>
      <w:r w:rsidRPr="7F8D5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potwierdzony okres pobytu jest krótszy niż okres wskazany w umowie </w:t>
      </w:r>
      <w:r w:rsidR="002571D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pomiędzy beneficjentem a uczestnikiem mobilności</w:t>
      </w: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beneficjent powinien postąpić w następujący sposób:</w:t>
      </w:r>
    </w:p>
    <w:p w14:paraId="4D8C2EC6" w14:textId="3EDB5B3E" w:rsidR="005347A3" w:rsidRPr="005347A3" w:rsidRDefault="005347A3" w:rsidP="7F8D5879">
      <w:pPr>
        <w:numPr>
          <w:ilvl w:val="0"/>
          <w:numId w:val="5"/>
        </w:numPr>
        <w:tabs>
          <w:tab w:val="num" w:pos="567"/>
          <w:tab w:val="left" w:pos="993"/>
        </w:tabs>
        <w:suppressAutoHyphens/>
        <w:spacing w:after="240" w:line="276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jeżeli różnica między potwierdzonym okresem pobytu a okresem wskazanym w</w:t>
      </w:r>
      <w:r w:rsidR="0093029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umowie</w:t>
      </w:r>
      <w:r w:rsidR="00424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 uczestnikiem</w:t>
      </w: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wynosi </w:t>
      </w:r>
      <w:r w:rsidRPr="000F2275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ponad 5 dni</w:t>
      </w: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beneficjent musi zaktualizować odnośne informacje w narzędziu sprawozdawczości i zarządzania Erasmus+ przez wskazanie potwierdzonego okresu (tj. dat rozpoczęcia i zakończenia wpisanych w wykazie zaliczeń lub na </w:t>
      </w:r>
      <w:r w:rsidR="007256F2"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świadectwie </w:t>
      </w: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odbycia </w:t>
      </w:r>
      <w:r w:rsidR="00DD0A70"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stażu</w:t>
      </w: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), a kwota dotacji zostanie obliczona ponownie; </w:t>
      </w:r>
    </w:p>
    <w:p w14:paraId="15EB34A7" w14:textId="2084AAC8" w:rsidR="005347A3" w:rsidRPr="005347A3" w:rsidRDefault="005347A3" w:rsidP="03BA9B75">
      <w:pPr>
        <w:numPr>
          <w:ilvl w:val="0"/>
          <w:numId w:val="5"/>
        </w:numPr>
        <w:tabs>
          <w:tab w:val="num" w:pos="567"/>
          <w:tab w:val="left" w:pos="993"/>
        </w:tabs>
        <w:suppressAutoHyphens/>
        <w:spacing w:after="240" w:line="276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jeżeli różnica wynosi </w:t>
      </w:r>
      <w:r w:rsidR="000A3A44" w:rsidRPr="000F2275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5 dni lub mniej</w:t>
      </w: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beneficjent nie powinien zmieniać w narzędziu sprawozdawczości i zarządzania Erasmus+ okresu wskazanego w umowie</w:t>
      </w:r>
      <w:r w:rsidR="00424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 uczestnikiem</w:t>
      </w: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(tj. kwota dotacji nie zostaje obliczona ponownie).</w:t>
      </w:r>
    </w:p>
    <w:p w14:paraId="7B4FB285" w14:textId="77777777" w:rsidR="005347A3" w:rsidRPr="005347A3" w:rsidRDefault="005347A3" w:rsidP="005347A3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przerwania pobytu okres przerwy nie będzie brany pod uwagę przy obliczaniu dotacji na wsparcie indywidualne. W przypadku przerwy spowodowanej siłą wyższą uczestnik musi mieć możliwość wznowienia i kontynuowania działań po ich przerwaniu (na warunkach określonych w niniejszej umowie).</w:t>
      </w:r>
    </w:p>
    <w:p w14:paraId="3B809FF0" w14:textId="77777777" w:rsidR="005347A3" w:rsidRPr="005347A3" w:rsidRDefault="005347A3" w:rsidP="005347A3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rozwiązania przez uczestnika umowy ze względu na działanie siły wyższej uczestnik musi mieć prawo do otrzymania kwoty dotacji w wysokości odpowiadającej rzeczywistemu czasowi trwania okresu mobilności. Wszelkie pozostałe środki muszą zostać zwrócone beneficjentowi, chyba że strony uzgodniły inaczej.</w:t>
      </w:r>
    </w:p>
    <w:p w14:paraId="50848B56" w14:textId="77777777" w:rsidR="005347A3" w:rsidRPr="005347A3" w:rsidRDefault="005347A3" w:rsidP="005347A3">
      <w:pPr>
        <w:numPr>
          <w:ilvl w:val="0"/>
          <w:numId w:val="8"/>
        </w:num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07E23138" w14:textId="52FB42B6" w:rsidR="005347A3" w:rsidRPr="005347A3" w:rsidRDefault="005347A3" w:rsidP="005347A3">
      <w:p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Wsparcie indywidualne jest </w:t>
      </w:r>
      <w:r w:rsidR="007256F2">
        <w:rPr>
          <w:rFonts w:ascii="Times New Roman" w:eastAsia="Calibri" w:hAnsi="Times New Roman" w:cs="Times New Roman"/>
          <w:kern w:val="0"/>
          <w:sz w:val="24"/>
          <w14:ligatures w14:val="none"/>
        </w:rPr>
        <w:t>kwalifikowalne (uprawnione)</w:t>
      </w:r>
      <w:r w:rsidR="007256F2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tylko wtedy, gdy uczestnik faktycznie podjął działanie w określonym czasie.</w:t>
      </w:r>
    </w:p>
    <w:p w14:paraId="0B86F60E" w14:textId="77777777" w:rsidR="005347A3" w:rsidRPr="005347A3" w:rsidRDefault="005347A3" w:rsidP="005347A3">
      <w:pPr>
        <w:numPr>
          <w:ilvl w:val="0"/>
          <w:numId w:val="8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>Dokumenty potwierdzające:</w:t>
      </w:r>
    </w:p>
    <w:p w14:paraId="345C092D" w14:textId="2E22F036" w:rsidR="007256F2" w:rsidRPr="007256F2" w:rsidRDefault="007256F2" w:rsidP="007256F2">
      <w:pPr>
        <w:suppressAutoHyphens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256F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Te same dokumenty potwierdzające, które są wymagane w przypadku </w:t>
      </w:r>
      <w:r w:rsidR="003E7C0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dofinansowania kosztów </w:t>
      </w:r>
      <w:r w:rsidRPr="007256F2">
        <w:rPr>
          <w:rFonts w:ascii="Times New Roman" w:eastAsia="Calibri" w:hAnsi="Times New Roman" w:cs="Times New Roman"/>
          <w:kern w:val="0"/>
          <w:sz w:val="24"/>
          <w14:ligatures w14:val="none"/>
        </w:rPr>
        <w:t>podróży (zob. sekcja 1.1.c).</w:t>
      </w:r>
    </w:p>
    <w:p w14:paraId="1D8B048E" w14:textId="77777777" w:rsidR="007256F2" w:rsidRPr="007256F2" w:rsidRDefault="007256F2" w:rsidP="007256F2">
      <w:pPr>
        <w:suppressAutoHyphens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256F2">
        <w:rPr>
          <w:rFonts w:ascii="Times New Roman" w:eastAsia="Calibri" w:hAnsi="Times New Roman" w:cs="Times New Roman"/>
          <w:kern w:val="0"/>
          <w:sz w:val="24"/>
          <w14:ligatures w14:val="none"/>
        </w:rPr>
        <w:t>W przypadku mobilności mieszanej i uczestnictwa w mieszanych programach intensywnych: należy korzystać z zazwyczaj stosowanych dokumentów określonych w sekcji 1.1.c.</w:t>
      </w:r>
    </w:p>
    <w:p w14:paraId="2E1DCBB4" w14:textId="4871065F" w:rsidR="007256F2" w:rsidRDefault="007256F2" w:rsidP="007256F2">
      <w:pPr>
        <w:suppressAutoHyphens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256F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dopłaty uzupełniającej </w:t>
      </w:r>
      <w:r w:rsidR="00171D34">
        <w:rPr>
          <w:rFonts w:ascii="Times New Roman" w:eastAsia="Calibri" w:hAnsi="Times New Roman" w:cs="Times New Roman"/>
          <w:kern w:val="0"/>
          <w:sz w:val="24"/>
          <w14:ligatures w14:val="none"/>
        </w:rPr>
        <w:t>dla uczestników należących d</w:t>
      </w:r>
      <w:r w:rsidR="00171D34" w:rsidRPr="00171D34">
        <w:rPr>
          <w:rFonts w:ascii="Times New Roman" w:eastAsia="Calibri" w:hAnsi="Times New Roman" w:cs="Times New Roman"/>
          <w:kern w:val="0"/>
          <w:sz w:val="24"/>
          <w14:ligatures w14:val="none"/>
        </w:rPr>
        <w:t>o grupy osób z mniejszymi szansami</w:t>
      </w:r>
      <w:r w:rsidRPr="007256F2">
        <w:rPr>
          <w:rFonts w:ascii="Times New Roman" w:eastAsia="Calibri" w:hAnsi="Times New Roman" w:cs="Times New Roman"/>
          <w:kern w:val="0"/>
          <w:sz w:val="24"/>
          <w14:ligatures w14:val="none"/>
        </w:rPr>
        <w:t>: dowód spełnienia jednego kryterium krajowego (dopuszcza się stosowanie np. oświadczenia własnego jako dokumentu potwierdzającego).</w:t>
      </w:r>
    </w:p>
    <w:p w14:paraId="7A5DC20A" w14:textId="6B24C1B3" w:rsidR="005347A3" w:rsidRPr="005347A3" w:rsidRDefault="005347A3" w:rsidP="005347A3">
      <w:pPr>
        <w:numPr>
          <w:ilvl w:val="0"/>
          <w:numId w:val="8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 xml:space="preserve">Sprawozdawczość: </w:t>
      </w:r>
    </w:p>
    <w:p w14:paraId="79E9F9C2" w14:textId="36BA249B" w:rsidR="005347A3" w:rsidRPr="005347A3" w:rsidRDefault="005347A3" w:rsidP="005347A3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bookmarkStart w:id="1" w:name="_Hlk116664147"/>
      <w:r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Uczestnicy muszą skorzystać ze standardowego kwestionariusza </w:t>
      </w:r>
      <w:r w:rsidR="009F5E74"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on-line </w:t>
      </w:r>
      <w:r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>udostępnionego przez Komisję Europejską (</w:t>
      </w:r>
      <w:r w:rsidR="009F5E74"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raport </w:t>
      </w:r>
      <w:r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uczestnika), aby </w:t>
      </w:r>
      <w:r w:rsidR="009F5E74"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>przekazać faktyczne</w:t>
      </w:r>
      <w:r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informacje i</w:t>
      </w:r>
      <w:r w:rsidR="009F5E74"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swoją</w:t>
      </w:r>
      <w:r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ocenę działania w zakresie mobilności, jego przygotowania i działań następczych.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bookmarkEnd w:id="1"/>
    <w:p w14:paraId="726609D2" w14:textId="77777777" w:rsidR="005347A3" w:rsidRPr="005347A3" w:rsidRDefault="005347A3" w:rsidP="005347A3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1.3 Wsparcie organizacyjne</w:t>
      </w:r>
    </w:p>
    <w:p w14:paraId="4F93B03A" w14:textId="77777777" w:rsidR="005347A3" w:rsidRPr="005347A3" w:rsidRDefault="005347A3" w:rsidP="005347A3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</w:p>
    <w:p w14:paraId="7D359325" w14:textId="0B623732" w:rsidR="00C4092C" w:rsidRPr="00227870" w:rsidRDefault="00C4092C" w:rsidP="00C4092C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Arial"/>
          <w:i/>
          <w:color w:val="4AA55B"/>
          <w:kern w:val="0"/>
          <w:sz w:val="24"/>
          <w:shd w:val="clear" w:color="auto" w:fill="CCFFFF"/>
          <w14:ligatures w14:val="none"/>
        </w:rPr>
      </w:pPr>
      <w:r w:rsidRPr="00227870">
        <w:rPr>
          <w:rFonts w:ascii="Times New Roman" w:eastAsia="Calibri" w:hAnsi="Times New Roman" w:cs="Arial"/>
          <w:kern w:val="0"/>
          <w:sz w:val="24"/>
          <w14:ligatures w14:val="none"/>
        </w:rPr>
        <w:t xml:space="preserve">Całkowity wkład jednostkowy oblicza się, mnożąc łączną liczbę uczestników przez mający zastosowanie wkład jednostkowy, jak określono w załączniku 3 do umowy. </w:t>
      </w:r>
    </w:p>
    <w:p w14:paraId="4576DEB6" w14:textId="4114F4B9" w:rsidR="00C4092C" w:rsidRPr="00227870" w:rsidRDefault="009523B4" w:rsidP="7F8D5879">
      <w:pPr>
        <w:spacing w:line="276" w:lineRule="auto"/>
        <w:jc w:val="both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7F8D5879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Łączna liczba uczestników uwzględnianych przy obliczaniu wsparcia organizacyjnego obejmuje wszystkie mobilności studentów i</w:t>
      </w:r>
      <w:r w:rsidR="5D4E6211" w:rsidRPr="7F8D5879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 </w:t>
      </w:r>
      <w:r w:rsidRPr="7F8D5879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pracowników, w</w:t>
      </w:r>
      <w:r w:rsidR="6BE5673B" w:rsidRPr="7F8D5879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 </w:t>
      </w:r>
      <w:r w:rsidRPr="7F8D5879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tym mobilności, które nie zostały dofinansowane ze środków unijnych programu Erasmus+ </w:t>
      </w:r>
      <w:r w:rsidR="00C4092C" w:rsidRPr="7F8D5879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(„</w:t>
      </w:r>
      <w:r w:rsidR="00F6172D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z dofinansowaniem zerowym</w:t>
      </w:r>
      <w:r w:rsidR="00C4092C" w:rsidRPr="7F8D5879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”) na cały okres mobilności, a także działania, w których wzięli udział zaproszeni pracownicy przedsiębiorstw. Łączna liczba osób uwzględnianych przy obliczaniu wsparcia organizacyjnego nie obejmuje osób towarzyszących uczestnikom w ich działaniu.</w:t>
      </w:r>
    </w:p>
    <w:p w14:paraId="3231C1F6" w14:textId="3B87CA1B" w:rsidR="00C4092C" w:rsidRPr="00227870" w:rsidRDefault="00C4092C" w:rsidP="009523B4">
      <w:pPr>
        <w:pStyle w:val="pf0"/>
        <w:jc w:val="both"/>
        <w:rPr>
          <w:rFonts w:ascii="Arial" w:hAnsi="Arial" w:cs="Arial"/>
          <w:sz w:val="20"/>
          <w:szCs w:val="20"/>
        </w:rPr>
      </w:pPr>
      <w:r w:rsidRPr="00227870">
        <w:rPr>
          <w:rFonts w:eastAsia="Calibri" w:cs="Arial"/>
        </w:rPr>
        <w:t xml:space="preserve">W przypadku mieszanego programu intensywnego całkowity wkład jednostkowy oblicza się, mnożąc łączną liczbę uczestników (mobilnych osób uczących się) mieszanych programów intensywnych, przyjeżdżających </w:t>
      </w:r>
      <w:r w:rsidRPr="00227870">
        <w:rPr>
          <w:rFonts w:eastAsia="Calibri"/>
        </w:rPr>
        <w:t xml:space="preserve">w ramach </w:t>
      </w:r>
      <w:r w:rsidR="009523B4" w:rsidRPr="00227870">
        <w:rPr>
          <w:rStyle w:val="cf01"/>
          <w:rFonts w:ascii="Times New Roman" w:eastAsiaTheme="majorEastAsia" w:hAnsi="Times New Roman" w:cs="Times New Roman"/>
          <w:sz w:val="24"/>
          <w:szCs w:val="24"/>
        </w:rPr>
        <w:t>mobilności studentów w celu studiowania lub mobilności pracowników</w:t>
      </w:r>
      <w:r w:rsidR="00800FA0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 (kadry)</w:t>
      </w:r>
      <w:r w:rsidR="0036433B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 finansowanych z funduszy polityki wewnętrznej</w:t>
      </w:r>
      <w:r w:rsidR="009523B4" w:rsidRPr="00227870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227870">
        <w:rPr>
          <w:rFonts w:eastAsia="Calibri" w:cs="Arial"/>
        </w:rPr>
        <w:t>przez mający zastosowanie wkład jednostkowy określony w załączniku 3 do umowy.</w:t>
      </w:r>
    </w:p>
    <w:p w14:paraId="39592C7A" w14:textId="77777777" w:rsidR="005347A3" w:rsidRPr="005347A3" w:rsidRDefault="005347A3" w:rsidP="005347A3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2D0C0AAE" w14:textId="4462BC94" w:rsidR="005347A3" w:rsidRPr="005347A3" w:rsidRDefault="005347A3" w:rsidP="005347A3">
      <w:pPr>
        <w:tabs>
          <w:tab w:val="left" w:pos="567"/>
        </w:tabs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Wsparcie organizacyjne jest</w:t>
      </w:r>
      <w:r w:rsidR="00C4092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kwalifikowalne (uprawnione)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tylko wtedy, gdy uczestnik faktycznie podjął działanie. </w:t>
      </w:r>
      <w:r w:rsidR="00C4092C" w:rsidRPr="00C4092C">
        <w:rPr>
          <w:rFonts w:ascii="Times New Roman" w:eastAsia="Calibri" w:hAnsi="Times New Roman" w:cs="Arial"/>
          <w:kern w:val="0"/>
          <w:sz w:val="24"/>
          <w14:ligatures w14:val="none"/>
        </w:rPr>
        <w:t xml:space="preserve">W przypadku mieszanych programów intensywnych wkład jednostkowy jest </w:t>
      </w:r>
      <w:r w:rsidR="00667359">
        <w:rPr>
          <w:rFonts w:ascii="Times New Roman" w:eastAsia="Calibri" w:hAnsi="Times New Roman" w:cs="Arial"/>
          <w:kern w:val="0"/>
          <w:sz w:val="24"/>
          <w14:ligatures w14:val="none"/>
        </w:rPr>
        <w:t>kwalifikowan</w:t>
      </w:r>
      <w:r w:rsidR="00715E9A">
        <w:rPr>
          <w:rFonts w:ascii="Times New Roman" w:eastAsia="Calibri" w:hAnsi="Times New Roman" w:cs="Arial"/>
          <w:kern w:val="0"/>
          <w:sz w:val="24"/>
          <w14:ligatures w14:val="none"/>
        </w:rPr>
        <w:t>y</w:t>
      </w:r>
      <w:r w:rsidR="00C4092C" w:rsidRPr="00C4092C">
        <w:rPr>
          <w:rFonts w:ascii="Times New Roman" w:eastAsia="Calibri" w:hAnsi="Times New Roman" w:cs="Arial"/>
          <w:kern w:val="0"/>
          <w:sz w:val="24"/>
          <w14:ligatures w14:val="none"/>
        </w:rPr>
        <w:t>, jeżeli działanie miało miejsce i zostało zatwierdzone przez agencję narodową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42027E31" w14:textId="77777777" w:rsidR="005347A3" w:rsidRPr="005347A3" w:rsidRDefault="005347A3" w:rsidP="005347A3">
      <w:pPr>
        <w:numPr>
          <w:ilvl w:val="0"/>
          <w:numId w:val="9"/>
        </w:numPr>
        <w:suppressAutoHyphens/>
        <w:spacing w:after="200" w:line="100" w:lineRule="atLeast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lastRenderedPageBreak/>
        <w:t xml:space="preserve">Dokumenty potwierdzające: </w:t>
      </w:r>
    </w:p>
    <w:p w14:paraId="74AFF47D" w14:textId="6E2638E6" w:rsidR="005347A3" w:rsidRPr="005347A3" w:rsidRDefault="005347A3" w:rsidP="005347A3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 same dokumenty potwierdzające, które są wymagane w przypadku wsparcia indywidualnego, w tym</w:t>
      </w:r>
      <w:r w:rsidR="00F61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również</w:t>
      </w: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przypadku mieszanych programów intensywnych.</w:t>
      </w:r>
    </w:p>
    <w:p w14:paraId="1D4365AF" w14:textId="77777777" w:rsidR="005347A3" w:rsidRPr="005347A3" w:rsidDel="00CD2603" w:rsidRDefault="005347A3" w:rsidP="005347A3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Sprawozdawczość: </w:t>
      </w:r>
    </w:p>
    <w:p w14:paraId="60F4F860" w14:textId="77777777" w:rsidR="00C4092C" w:rsidRPr="00C4092C" w:rsidRDefault="00C4092C" w:rsidP="00C4092C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4092C">
        <w:rPr>
          <w:rFonts w:ascii="Times New Roman" w:eastAsia="Calibri" w:hAnsi="Times New Roman" w:cs="Times New Roman"/>
          <w:kern w:val="0"/>
          <w:sz w:val="24"/>
          <w14:ligatures w14:val="none"/>
        </w:rPr>
        <w:t>Beneficjent musi zgłosić rzeczywistą liczbę uczestników działań w zakresie mobilności.</w:t>
      </w:r>
    </w:p>
    <w:p w14:paraId="30E96F9D" w14:textId="520EFB10" w:rsidR="00C4092C" w:rsidRPr="00C4092C" w:rsidRDefault="00C4092C" w:rsidP="00C4092C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4092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Jeżeli na etapie sprawozdania końcowego całkowita zgłoszona liczba zrealizowanych mobilności jest mniejsza o maksymalnie 10 % niż liczba mobilności określona w załączniku 1 do umowy, wsparcia organizacyjnego nie można zmniejszyć. </w:t>
      </w:r>
    </w:p>
    <w:p w14:paraId="066BB3BA" w14:textId="43FB953C" w:rsidR="00C4092C" w:rsidRPr="00C4092C" w:rsidRDefault="00C4092C" w:rsidP="00C4092C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4092C">
        <w:rPr>
          <w:rFonts w:ascii="Times New Roman" w:eastAsia="Calibri" w:hAnsi="Times New Roman" w:cs="Times New Roman"/>
          <w:kern w:val="0"/>
          <w:sz w:val="24"/>
          <w14:ligatures w14:val="none"/>
        </w:rPr>
        <w:t>Jeżeli na etapie sprawozdania końcowego całkowita zgłoszona liczba zrealizowanych mobilności jest wyższa niż liczba określona w załączniku 1 do umowy, wsparcie organizacyjne zostanie ograniczone do maksymalnej kwoty określonej w załączniku 1 do umowy.</w:t>
      </w:r>
    </w:p>
    <w:p w14:paraId="625A630F" w14:textId="58997A58" w:rsidR="00C4092C" w:rsidRPr="00C4092C" w:rsidRDefault="00C4092C" w:rsidP="7F8D5879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mieszanych programów intensywnych</w:t>
      </w:r>
      <w:r w:rsidR="002581D8"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6CDAAA4E" w14:textId="553BB7A9" w:rsidR="00C4092C" w:rsidRPr="00C4092C" w:rsidRDefault="4657F7B2" w:rsidP="7F8D5879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</w:t>
      </w:r>
      <w:r w:rsidR="00C4092C"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eżeli na etapie sprawozdania końcowego całkowita zgłoszona liczba zrealizowanych mobilności osób uczących się jest mniejsza o 10 % od liczby działań określonych w załączniku 1 do umowy, intensywnego wsparcia organizacyjnego mieszanego programu intensywnego nie można zmniejszyć. </w:t>
      </w:r>
    </w:p>
    <w:p w14:paraId="5AD297A0" w14:textId="77777777" w:rsidR="00227870" w:rsidRDefault="00C4092C" w:rsidP="005347A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4092C">
        <w:rPr>
          <w:rFonts w:ascii="Times New Roman" w:eastAsia="Calibri" w:hAnsi="Times New Roman" w:cs="Times New Roman"/>
          <w:kern w:val="0"/>
          <w:sz w:val="24"/>
          <w14:ligatures w14:val="none"/>
        </w:rPr>
        <w:t>Jeżeli na etapie sprawozdania końcowego całkowita zgłoszona liczba zrealizowanych mobilności jest większa niż liczba określona w załączniku 1 do umowy, wsparcie organizacyjne mieszanego programu intensywnego zostanie ograniczone do maksymalnej kwoty określonej w załączniku 1 do umowy.</w:t>
      </w:r>
    </w:p>
    <w:p w14:paraId="33C9206C" w14:textId="52D89B81" w:rsidR="00C4092C" w:rsidRDefault="005347A3" w:rsidP="005347A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5347A3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1.4-1.6 </w:t>
      </w:r>
    </w:p>
    <w:p w14:paraId="7F38BB16" w14:textId="742F208F" w:rsidR="005347A3" w:rsidRPr="00227870" w:rsidRDefault="005347A3" w:rsidP="005347A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>Nie dotyczy</w:t>
      </w:r>
      <w:r w:rsidR="00C4092C"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3E6E2F0E" w14:textId="77777777" w:rsidR="005347A3" w:rsidRPr="005347A3" w:rsidRDefault="005347A3" w:rsidP="005347A3">
      <w:pPr>
        <w:keepNext/>
        <w:keepLines/>
        <w:spacing w:before="240" w:after="200" w:line="240" w:lineRule="auto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1.7 Wsparcie włączenia dla organizacji</w:t>
      </w:r>
    </w:p>
    <w:p w14:paraId="241013DD" w14:textId="77777777" w:rsidR="005347A3" w:rsidRPr="005347A3" w:rsidRDefault="005347A3" w:rsidP="005347A3">
      <w:pPr>
        <w:numPr>
          <w:ilvl w:val="0"/>
          <w:numId w:val="10"/>
        </w:numPr>
        <w:suppressAutoHyphens/>
        <w:spacing w:after="0" w:line="276" w:lineRule="auto"/>
        <w:ind w:left="851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Obliczanie całkowitego wkładu jednostkowego: </w:t>
      </w:r>
    </w:p>
    <w:p w14:paraId="17D6CEB8" w14:textId="77777777" w:rsidR="005347A3" w:rsidRPr="005347A3" w:rsidRDefault="005347A3" w:rsidP="005347A3">
      <w:pPr>
        <w:suppressAutoHyphens/>
        <w:spacing w:after="0" w:line="276" w:lineRule="auto"/>
        <w:rPr>
          <w:rFonts w:ascii="Calibri" w:eastAsia="SimSun" w:hAnsi="Calibri" w:cs="Times New Roman"/>
          <w:kern w:val="0"/>
          <w:szCs w:val="24"/>
          <w:lang w:eastAsia="ar-SA"/>
          <w14:ligatures w14:val="none"/>
        </w:rPr>
      </w:pPr>
    </w:p>
    <w:p w14:paraId="26C51C9F" w14:textId="4B43734A" w:rsidR="005347A3" w:rsidRPr="005347A3" w:rsidRDefault="005347A3" w:rsidP="005347A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Całkowity wkład jednostkowy oblicza się mnożąc łączną liczbę uczestników otrzymujących wsparcie włączenia </w:t>
      </w:r>
      <w:r w:rsidR="00C4092C"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działań w zakresie mobilności </w:t>
      </w: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przez mający zastosowanie wkład jednostkowy, jak określono w załączniku 3 do umowy.</w:t>
      </w:r>
    </w:p>
    <w:p w14:paraId="72E7C6F1" w14:textId="77777777" w:rsidR="005347A3" w:rsidRPr="005347A3" w:rsidRDefault="005347A3" w:rsidP="005347A3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0C7FAD2" w14:textId="5BB8B191" w:rsidR="005347A3" w:rsidRPr="005347A3" w:rsidRDefault="00227870" w:rsidP="005347A3">
      <w:pPr>
        <w:numPr>
          <w:ilvl w:val="0"/>
          <w:numId w:val="10"/>
        </w:numPr>
        <w:suppressAutoHyphens/>
        <w:spacing w:after="200" w:line="276" w:lineRule="auto"/>
        <w:ind w:left="709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  <w:r w:rsidR="005347A3"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Zdarzenie inicjujące: </w:t>
      </w:r>
    </w:p>
    <w:p w14:paraId="52EE1A16" w14:textId="58DFCEAC" w:rsidR="005347A3" w:rsidRPr="005347A3" w:rsidRDefault="005347A3" w:rsidP="005347A3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włączenia dla organizacji </w:t>
      </w:r>
      <w:r w:rsidR="00BC069D" w:rsidRPr="00BC069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jest kwalifikowalne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wtedy, gdy dany uczestnik faktycznie podjął działanie </w:t>
      </w:r>
      <w:r w:rsidR="00C4092C">
        <w:rPr>
          <w:rFonts w:ascii="Times New Roman" w:eastAsia="Calibri" w:hAnsi="Times New Roman" w:cs="Times New Roman"/>
          <w:kern w:val="0"/>
          <w:sz w:val="24"/>
          <w14:ligatures w14:val="none"/>
        </w:rPr>
        <w:t>i otrzymał wsparcie włączenia dla uczestników.</w:t>
      </w:r>
    </w:p>
    <w:p w14:paraId="136BA8FE" w14:textId="5780F572" w:rsidR="005347A3" w:rsidRPr="005347A3" w:rsidRDefault="00227870" w:rsidP="00227870">
      <w:pPr>
        <w:numPr>
          <w:ilvl w:val="0"/>
          <w:numId w:val="10"/>
        </w:numPr>
        <w:tabs>
          <w:tab w:val="left" w:pos="567"/>
        </w:tabs>
        <w:suppressAutoHyphens/>
        <w:spacing w:after="240" w:line="276" w:lineRule="auto"/>
        <w:ind w:left="993" w:hanging="654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227870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 xml:space="preserve">    </w:t>
      </w:r>
      <w:r w:rsidR="005347A3"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243EDA70" w14:textId="29E9393D" w:rsidR="005347A3" w:rsidRDefault="00C4092C" w:rsidP="7F8D5879">
      <w:pPr>
        <w:suppressAutoHyphens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Dokumentem potwierdzającym jest oświadczenie </w:t>
      </w:r>
      <w:r w:rsidR="00D17B00"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podpisane </w:t>
      </w:r>
      <w:r w:rsidR="005347A3" w:rsidRPr="7F8D58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przez organizację przyjmującą i uczestnika, w którym wyszczególniono imię i nazwisko uczestnika, cel działania oraz daty jego rozpoczęcia i zakończenia, a także wszelkie dokumenty potwierdzające, że wypłacono wsparcie włączenia dla uczestników, jak określono w sekcji 2.1 niniejszego załącznika. </w:t>
      </w:r>
    </w:p>
    <w:p w14:paraId="1B2A186F" w14:textId="4954BB66" w:rsidR="00227870" w:rsidRDefault="00F6172D" w:rsidP="005347A3">
      <w:pPr>
        <w:suppressAutoHyphens/>
        <w:spacing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1.8 – 1.10</w:t>
      </w:r>
    </w:p>
    <w:p w14:paraId="5BFFE03B" w14:textId="117C95CE" w:rsidR="00F6172D" w:rsidRPr="005347A3" w:rsidRDefault="00F6172D" w:rsidP="005347A3">
      <w:pPr>
        <w:suppressAutoHyphens/>
        <w:spacing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Nie dotyczy.</w:t>
      </w:r>
    </w:p>
    <w:p w14:paraId="1A4EBD14" w14:textId="77777777" w:rsidR="005347A3" w:rsidRPr="005347A3" w:rsidRDefault="005347A3" w:rsidP="005347A3">
      <w:pPr>
        <w:keepNext/>
        <w:keepLines/>
        <w:numPr>
          <w:ilvl w:val="0"/>
          <w:numId w:val="14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>Koszty rzeczywiste</w:t>
      </w:r>
    </w:p>
    <w:p w14:paraId="59B85931" w14:textId="77777777" w:rsidR="005347A3" w:rsidRPr="005347A3" w:rsidRDefault="005347A3" w:rsidP="005347A3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2.1 Wsparcie włączenia dla uczestników</w:t>
      </w:r>
    </w:p>
    <w:p w14:paraId="10429E18" w14:textId="77777777" w:rsidR="005347A3" w:rsidRPr="005347A3" w:rsidRDefault="005347A3" w:rsidP="005347A3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D27FBF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Obliczanie kwoty dotacji:</w:t>
      </w:r>
    </w:p>
    <w:p w14:paraId="66B7CAC5" w14:textId="77777777" w:rsidR="005347A3" w:rsidRPr="005347A3" w:rsidRDefault="005347A3" w:rsidP="005347A3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Dotacja stanowi zwrot 100 % faktycznie poniesionych kosztów kwalifikowalnych.</w:t>
      </w:r>
    </w:p>
    <w:p w14:paraId="33EACF6B" w14:textId="77777777" w:rsidR="005347A3" w:rsidRPr="005347A3" w:rsidRDefault="005347A3" w:rsidP="005347A3">
      <w:p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7870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b)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5347A3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Koszty kwalifikowalne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52240C45" w14:textId="14C0FD11" w:rsidR="005347A3" w:rsidRPr="005347A3" w:rsidRDefault="005347A3" w:rsidP="0D27FBFC">
      <w:pPr>
        <w:suppressAutoHyphens/>
        <w:spacing w:after="240" w:line="276" w:lineRule="auto"/>
        <w:ind w:left="709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D27FB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Dodatkowe koszty bezpośrednio związane z uczestnikami przynależący</w:t>
      </w:r>
      <w:r w:rsidR="00F61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</w:t>
      </w:r>
      <w:r w:rsidRPr="0D27FB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grupy osób z mniejszymi szansami i osobami im towarzyszącymi</w:t>
      </w:r>
      <w:r w:rsidR="00D17B00" w:rsidRPr="0D27FB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D27FB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szczególności koszty te mają na celu pokrycie dodatkowego wsparcia finansowego potrzebnego uczestnikom dotkniętym niepełnosprawnością fizyczną bądź psychiczną lub chorobą, aby umożliwić im udział w mobilności, a także w wizytach przygotowawczych.</w:t>
      </w:r>
    </w:p>
    <w:p w14:paraId="4BF78915" w14:textId="61BEDA91" w:rsidR="005347A3" w:rsidRPr="005347A3" w:rsidRDefault="005347A3" w:rsidP="005347A3">
      <w:pPr>
        <w:tabs>
          <w:tab w:val="left" w:pos="0"/>
        </w:tabs>
        <w:suppressAutoHyphens/>
        <w:spacing w:after="240" w:line="276" w:lineRule="auto"/>
        <w:ind w:left="709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Finansowanie osób towarzyszących przez pierwsze 60 dni opiera się na </w:t>
      </w:r>
      <w:r w:rsidR="008814B1">
        <w:rPr>
          <w:rFonts w:ascii="Times New Roman" w:eastAsia="Calibri" w:hAnsi="Times New Roman" w:cs="Times New Roman"/>
          <w:kern w:val="0"/>
          <w:sz w:val="24"/>
          <w14:ligatures w14:val="none"/>
        </w:rPr>
        <w:t>wkładach</w:t>
      </w:r>
      <w:r w:rsidR="008814B1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jednostkowych mobilności </w:t>
      </w:r>
      <w:r w:rsidR="008814B1">
        <w:rPr>
          <w:rFonts w:ascii="Times New Roman" w:eastAsia="Calibri" w:hAnsi="Times New Roman" w:cs="Times New Roman"/>
          <w:kern w:val="0"/>
          <w:sz w:val="24"/>
          <w14:ligatures w14:val="none"/>
        </w:rPr>
        <w:t>pracowników</w:t>
      </w:r>
      <w:r w:rsidR="008814B1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(</w:t>
      </w:r>
      <w:r w:rsidR="00A54956">
        <w:rPr>
          <w:rFonts w:ascii="Times New Roman" w:eastAsia="Calibri" w:hAnsi="Times New Roman" w:cs="Times New Roman"/>
          <w:kern w:val="0"/>
          <w:sz w:val="24"/>
          <w14:ligatures w14:val="none"/>
        </w:rPr>
        <w:t>dofinansowanie kosztów</w:t>
      </w:r>
      <w:r w:rsidR="00A54956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podróży, wsparcie indywidualne). </w:t>
      </w:r>
    </w:p>
    <w:p w14:paraId="7252D88C" w14:textId="3BF2C4EE" w:rsidR="005347A3" w:rsidRPr="005347A3" w:rsidRDefault="005347A3" w:rsidP="005347A3">
      <w:pPr>
        <w:tabs>
          <w:tab w:val="left" w:pos="709"/>
        </w:tabs>
        <w:suppressAutoHyphens/>
        <w:spacing w:after="240" w:line="276" w:lineRule="auto"/>
        <w:ind w:left="709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Analogicznie do sytuacji uczestnika, jeśli </w:t>
      </w:r>
      <w:r w:rsidR="009523B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wkłady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jednostkowe</w:t>
      </w:r>
      <w:r w:rsidR="0054334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na </w:t>
      </w:r>
      <w:r w:rsidR="00F6172D">
        <w:rPr>
          <w:rFonts w:ascii="Times New Roman" w:eastAsia="Calibri" w:hAnsi="Times New Roman" w:cs="Times New Roman"/>
          <w:kern w:val="0"/>
          <w:sz w:val="24"/>
          <w14:ligatures w14:val="none"/>
        </w:rPr>
        <w:t>których</w:t>
      </w:r>
      <w:r w:rsidR="0054334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opiera się dofinansowanie kosztów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podróży nie pokrywają co najmniej 70% rzeczywistych kosztów podróży osoby towarzyszącej, można zastosować postanowienia dotyczące kosztów nadzwyczajnych związanych z wysokimi kosztami podróży.</w:t>
      </w:r>
    </w:p>
    <w:p w14:paraId="6F4A5E9B" w14:textId="77777777" w:rsidR="005347A3" w:rsidRPr="005347A3" w:rsidRDefault="005347A3" w:rsidP="005347A3">
      <w:pPr>
        <w:tabs>
          <w:tab w:val="left" w:pos="709"/>
        </w:tabs>
        <w:suppressAutoHyphens/>
        <w:spacing w:after="240" w:line="276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Jeżeli pobyt za granicą przekracza 60 dni, kategoria budżetu „Wsparcie włączenia dla uczestników” zostanie obliczona na podstawie rzeczywistych kosztów utrzymania od 61. dnia.</w:t>
      </w:r>
    </w:p>
    <w:p w14:paraId="131C41F1" w14:textId="17EF0FD3" w:rsidR="005347A3" w:rsidRPr="005347A3" w:rsidRDefault="005347A3" w:rsidP="005347A3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 wybraniu uczestników środki na wsparcie włączenia dla uczestników mogą zostać udostępnione na dwa sposoby. Beneficjent może złożyć wniosek o finansowanie do </w:t>
      </w:r>
      <w:r w:rsidR="00D17B00">
        <w:rPr>
          <w:rFonts w:ascii="Times New Roman" w:eastAsia="Calibri" w:hAnsi="Times New Roman" w:cs="Times New Roman"/>
          <w:kern w:val="0"/>
          <w:sz w:val="24"/>
          <w14:ligatures w14:val="none"/>
        </w:rPr>
        <w:t>agencji narodowej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albo dokonać przesunięcia budżetowego zgodnie z załącznikiem 5 do umowy.</w:t>
      </w:r>
    </w:p>
    <w:p w14:paraId="3E1A881A" w14:textId="77777777" w:rsidR="005347A3" w:rsidRPr="005347A3" w:rsidRDefault="005347A3" w:rsidP="005347A3">
      <w:pPr>
        <w:tabs>
          <w:tab w:val="left" w:pos="709"/>
        </w:tabs>
        <w:suppressAutoHyphens/>
        <w:spacing w:after="0" w:line="276" w:lineRule="auto"/>
        <w:ind w:left="851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AE42736" w14:textId="2589C594" w:rsidR="005347A3" w:rsidRPr="005347A3" w:rsidRDefault="008B3D6D" w:rsidP="00227870">
      <w:pPr>
        <w:tabs>
          <w:tab w:val="left" w:pos="709"/>
        </w:tabs>
        <w:suppressAutoHyphens/>
        <w:spacing w:after="20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c) </w:t>
      </w:r>
      <w:r w:rsidR="005347A3"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Dokumenty potwierdzające:</w:t>
      </w:r>
      <w:r w:rsidR="005347A3"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3DC10D52" w14:textId="3524EA54" w:rsidR="005347A3" w:rsidRPr="005347A3" w:rsidRDefault="005347A3" w:rsidP="005347A3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D27FBF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Dokumentacja uzasadniająca potrzebę przyznania wsparcia włączenia uczestnikowi, podpisana przez organizację przyjmującą lub wysyłającą, w której to dokumentacji wyszczególniono imię i nazwisko uczestnika, cel działania, a także daty jego rozpoczęcia i zakończenia; dokumentacja planowanych rzeczywistych kosztów i dowód ich zatwierdzenia przez </w:t>
      </w:r>
      <w:r w:rsidR="00D17B00" w:rsidRPr="0D27FBF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Pr="0D27FBF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gencję </w:t>
      </w:r>
      <w:r w:rsidR="00D17B00" w:rsidRPr="0D27FBF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 w:rsidRPr="0D27FBF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arodową oraz</w:t>
      </w:r>
      <w:r w:rsidRPr="0D27FB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C5A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faktury stanowiące dowód pokrycia powiązanych kosztów, w których to fakturach wyszczególniono </w:t>
      </w:r>
      <w:r w:rsidRPr="0D27FB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nazwę i adres </w:t>
      </w:r>
      <w:r w:rsidR="00DC5A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podmiotu </w:t>
      </w:r>
      <w:r w:rsidRPr="0D27FB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wystawiającego fakturę, kwotę i walutę, datę wystawienia faktury, oraz, w razie potrzeby, dokumentacja podpisana przez organizację przyjmującą określająca potwierdzoną datę rozpoczęcia i zakończenia pobytu osoby towarzyszącej.</w:t>
      </w:r>
    </w:p>
    <w:p w14:paraId="3228E04D" w14:textId="2643A093" w:rsidR="005347A3" w:rsidRPr="005347A3" w:rsidRDefault="008B3D6D" w:rsidP="00227870">
      <w:pPr>
        <w:tabs>
          <w:tab w:val="left" w:pos="709"/>
        </w:tabs>
        <w:suppressAutoHyphens/>
        <w:spacing w:after="20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d) </w:t>
      </w:r>
      <w:r w:rsidR="005347A3"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Sprawozdawczość:</w:t>
      </w:r>
      <w:r w:rsidR="005347A3"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6531B7D2" w14:textId="77777777" w:rsidR="005347A3" w:rsidRPr="005347A3" w:rsidRDefault="005347A3" w:rsidP="005347A3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odniesieniu do każdej pozycji kosztów w tej kategorii budżetowej beneficjent musi podać rodzaj kosztów i rzeczywistą kwotę poniesionych kosztów. </w:t>
      </w:r>
    </w:p>
    <w:p w14:paraId="3F65E8ED" w14:textId="77777777" w:rsidR="005347A3" w:rsidRPr="005347A3" w:rsidRDefault="005347A3" w:rsidP="005347A3">
      <w:pPr>
        <w:keepNext/>
        <w:keepLines/>
        <w:numPr>
          <w:ilvl w:val="1"/>
          <w:numId w:val="14"/>
        </w:numPr>
        <w:spacing w:before="240" w:after="200" w:line="240" w:lineRule="auto"/>
        <w:ind w:left="426" w:hanging="284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Koszty nadzwyczajne</w:t>
      </w:r>
    </w:p>
    <w:p w14:paraId="43A5ACAE" w14:textId="77777777" w:rsidR="005347A3" w:rsidRPr="005347A3" w:rsidRDefault="005347A3" w:rsidP="005347A3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D27FBF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Obliczanie kwoty dotacji:</w:t>
      </w:r>
    </w:p>
    <w:p w14:paraId="45DE6E38" w14:textId="77777777" w:rsidR="005347A3" w:rsidRPr="005347A3" w:rsidRDefault="005347A3" w:rsidP="005347A3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Dotacja stanowi zwrot 80% faktycznie poniesionych kosztów kwalifikowalnych wymienionych poniżej. </w:t>
      </w:r>
    </w:p>
    <w:p w14:paraId="0137407A" w14:textId="77777777" w:rsidR="005347A3" w:rsidRPr="005347A3" w:rsidRDefault="005347A3" w:rsidP="005347A3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Koszty kwalifikowalne: </w:t>
      </w:r>
    </w:p>
    <w:p w14:paraId="3FB12B89" w14:textId="03346100" w:rsidR="005347A3" w:rsidRPr="005347A3" w:rsidRDefault="005347A3" w:rsidP="005347A3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Koszty związane z gwarancją dotyczącą płatności zaliczkowych wniesioną przez beneficjenta, w przypadku gdy takiej gwarancji wymaga </w:t>
      </w:r>
      <w:r w:rsidR="00D17B00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gencja </w:t>
      </w:r>
      <w:r w:rsidR="00D17B00">
        <w:rPr>
          <w:rFonts w:ascii="Times New Roman" w:eastAsia="Times New Roman" w:hAnsi="Times New Roman" w:cs="Times New Roman"/>
          <w:kern w:val="0"/>
          <w:sz w:val="24"/>
          <w14:ligatures w14:val="none"/>
        </w:rPr>
        <w:t>n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arodowa, jak określono w arkuszu danych (zob. pkt 4).  </w:t>
      </w:r>
    </w:p>
    <w:p w14:paraId="0AE00EDA" w14:textId="0B081983" w:rsidR="005347A3" w:rsidRPr="005347A3" w:rsidRDefault="005347A3" w:rsidP="005347A3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>Wysokie koszty podróży: koszty podróży w najkorzystniejszy ekonomicznie a zarazem efektywny sposób, jeżeli wkład jednostkowy nie pokrywa co najmniej 70 % kosztów podróży.</w:t>
      </w:r>
      <w:r w:rsidR="0030435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304357" w:rsidRPr="00304357">
        <w:rPr>
          <w:rFonts w:ascii="Times New Roman" w:eastAsia="Times New Roman" w:hAnsi="Times New Roman" w:cs="Times New Roman"/>
          <w:kern w:val="0"/>
          <w:sz w:val="24"/>
          <w:highlight w:val="yellow"/>
          <w14:ligatures w14:val="none"/>
        </w:rPr>
        <w:t>Koszty nadzwyczajne związane z wysokimi kosztami podróży zastępują dofinansowanie kosztów podróży</w:t>
      </w:r>
      <w:r w:rsidR="00304357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Po wybraniu uczestników beneficjent może złożyć do </w:t>
      </w:r>
      <w:r w:rsidR="00CB212A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gencji </w:t>
      </w:r>
      <w:r w:rsidR="00CB212A">
        <w:rPr>
          <w:rFonts w:ascii="Times New Roman" w:eastAsia="Times New Roman" w:hAnsi="Times New Roman" w:cs="Times New Roman"/>
          <w:kern w:val="0"/>
          <w:sz w:val="24"/>
          <w14:ligatures w14:val="none"/>
        </w:rPr>
        <w:t>n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>arodowej wniosek o finansowanie dotyczący wysokich kosztów podróży jako kosztów nadzwyczajnych, albo pokryć je przez przesunięcie środków budżetowych zgodnie z załącznikiem 5 do umowy.</w:t>
      </w:r>
    </w:p>
    <w:p w14:paraId="50A6653C" w14:textId="77777777" w:rsidR="005347A3" w:rsidRPr="005347A3" w:rsidRDefault="005347A3" w:rsidP="005347A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1A8696CD" w14:textId="77777777" w:rsidR="005347A3" w:rsidRPr="005347A3" w:rsidRDefault="005347A3" w:rsidP="005347A3">
      <w:pPr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53EE72" w14:textId="211419E3" w:rsidR="005347A3" w:rsidRPr="005347A3" w:rsidRDefault="00A2016C" w:rsidP="005347A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W przypadku gwarancji</w:t>
      </w:r>
      <w:r w:rsidR="00925C0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dotyczącej płatności zaliczkowych d</w:t>
      </w:r>
      <w:r w:rsidR="005347A3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owód poniesienia kosztów związanych z </w:t>
      </w:r>
      <w:r w:rsidR="001450BE">
        <w:rPr>
          <w:rFonts w:ascii="Times New Roman" w:eastAsia="Calibri" w:hAnsi="Times New Roman" w:cs="Times New Roman"/>
          <w:kern w:val="0"/>
          <w:sz w:val="24"/>
          <w14:ligatures w14:val="none"/>
        </w:rPr>
        <w:t>gwarancją finansową</w:t>
      </w:r>
      <w:r w:rsidR="005347A3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w którym wyszczególniono nazwę i adres organu </w:t>
      </w:r>
      <w:r w:rsidR="008E3EE7">
        <w:rPr>
          <w:rFonts w:ascii="Times New Roman" w:eastAsia="Calibri" w:hAnsi="Times New Roman" w:cs="Times New Roman"/>
          <w:kern w:val="0"/>
          <w:sz w:val="24"/>
          <w14:ligatures w14:val="none"/>
        </w:rPr>
        <w:t>udzielającego gwarancji</w:t>
      </w:r>
      <w:r w:rsidR="005347A3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kwotę i walutę </w:t>
      </w:r>
      <w:r w:rsidR="00937264">
        <w:rPr>
          <w:rFonts w:ascii="Times New Roman" w:eastAsia="Calibri" w:hAnsi="Times New Roman" w:cs="Times New Roman"/>
          <w:kern w:val="0"/>
          <w:sz w:val="24"/>
          <w14:ligatures w14:val="none"/>
        </w:rPr>
        <w:t>gwarancji oraz datę jej udzielenia</w:t>
      </w:r>
      <w:r w:rsidR="005347A3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oraz który opatrzono datą i podpisem </w:t>
      </w:r>
      <w:r w:rsidR="00937264">
        <w:rPr>
          <w:rFonts w:ascii="Times New Roman" w:eastAsia="Calibri" w:hAnsi="Times New Roman" w:cs="Times New Roman"/>
          <w:kern w:val="0"/>
          <w:sz w:val="24"/>
          <w14:ligatures w14:val="none"/>
        </w:rPr>
        <w:t>przedstawiciela prawnego</w:t>
      </w:r>
      <w:r w:rsidR="005347A3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organu </w:t>
      </w:r>
      <w:r w:rsidR="00802F15">
        <w:rPr>
          <w:rFonts w:ascii="Times New Roman" w:eastAsia="Calibri" w:hAnsi="Times New Roman" w:cs="Times New Roman"/>
          <w:kern w:val="0"/>
          <w:sz w:val="24"/>
          <w14:ligatures w14:val="none"/>
        </w:rPr>
        <w:t>udzielającego gwarancji</w:t>
      </w:r>
      <w:r w:rsidR="005347A3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</w:p>
    <w:p w14:paraId="06EF5932" w14:textId="77777777" w:rsidR="005347A3" w:rsidRPr="005347A3" w:rsidRDefault="005347A3" w:rsidP="005347A3">
      <w:pPr>
        <w:suppressAutoHyphens/>
        <w:spacing w:after="0" w:line="276" w:lineRule="auto"/>
        <w:ind w:left="113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9DF657A" w14:textId="58024222" w:rsidR="00F47C68" w:rsidRPr="00F47C68" w:rsidRDefault="00F47C68" w:rsidP="00F47C6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</w:t>
      </w:r>
      <w:r w:rsidRPr="00F47C68">
        <w:rPr>
          <w:rFonts w:ascii="Times New Roman" w:eastAsia="Calibri" w:hAnsi="Times New Roman" w:cs="Times New Roman"/>
          <w:sz w:val="24"/>
          <w:szCs w:val="24"/>
        </w:rPr>
        <w:t xml:space="preserve"> przypadku wysokich kosztów podróży: dowód </w:t>
      </w:r>
      <w:r>
        <w:rPr>
          <w:rFonts w:ascii="Times New Roman" w:eastAsia="Calibri" w:hAnsi="Times New Roman" w:cs="Times New Roman"/>
          <w:sz w:val="24"/>
          <w:szCs w:val="24"/>
        </w:rPr>
        <w:t>opłacenia oraz faktury stanowiące dowód opłacenia powiązanych kosztów</w:t>
      </w:r>
      <w:r w:rsidRPr="00F47C68">
        <w:rPr>
          <w:rFonts w:ascii="Times New Roman" w:eastAsia="Calibri" w:hAnsi="Times New Roman" w:cs="Times New Roman"/>
          <w:sz w:val="24"/>
          <w:szCs w:val="24"/>
        </w:rPr>
        <w:t xml:space="preserve">, w których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 fakturach </w:t>
      </w:r>
      <w:r w:rsidRPr="00F47C68">
        <w:rPr>
          <w:rFonts w:ascii="Times New Roman" w:eastAsia="Calibri" w:hAnsi="Times New Roman" w:cs="Times New Roman"/>
          <w:sz w:val="24"/>
          <w:szCs w:val="24"/>
        </w:rPr>
        <w:t xml:space="preserve">wyszczególniono nazwę i adres </w:t>
      </w:r>
      <w:r>
        <w:rPr>
          <w:rFonts w:ascii="Times New Roman" w:eastAsia="Calibri" w:hAnsi="Times New Roman" w:cs="Times New Roman"/>
          <w:sz w:val="24"/>
          <w:szCs w:val="24"/>
        </w:rPr>
        <w:t>podmiotu</w:t>
      </w:r>
      <w:r w:rsidRPr="00F47C68">
        <w:rPr>
          <w:rFonts w:ascii="Times New Roman" w:eastAsia="Calibri" w:hAnsi="Times New Roman" w:cs="Times New Roman"/>
          <w:sz w:val="24"/>
          <w:szCs w:val="24"/>
        </w:rPr>
        <w:t xml:space="preserve"> wystawiając</w:t>
      </w:r>
      <w:r>
        <w:rPr>
          <w:rFonts w:ascii="Times New Roman" w:eastAsia="Calibri" w:hAnsi="Times New Roman" w:cs="Times New Roman"/>
          <w:sz w:val="24"/>
          <w:szCs w:val="24"/>
        </w:rPr>
        <w:t>ego</w:t>
      </w:r>
      <w:r w:rsidRPr="00F47C68">
        <w:rPr>
          <w:rFonts w:ascii="Times New Roman" w:eastAsia="Calibri" w:hAnsi="Times New Roman" w:cs="Times New Roman"/>
          <w:sz w:val="24"/>
          <w:szCs w:val="24"/>
        </w:rPr>
        <w:t xml:space="preserve"> fakturę, kwotę i walutę, datę wystawienia faktury i trasę podróży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3D751C" w14:textId="3A613BBD" w:rsidR="005347A3" w:rsidRPr="005347A3" w:rsidRDefault="007968D1" w:rsidP="005347A3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39ABEFBA">
        <w:rPr>
          <w:rFonts w:ascii="Times New Roman" w:eastAsia="Calibri" w:hAnsi="Times New Roman" w:cs="Times New Roman"/>
          <w:sz w:val="24"/>
          <w:szCs w:val="24"/>
        </w:rPr>
        <w:t>Ponadto</w:t>
      </w:r>
      <w:r w:rsidR="00D97CD1" w:rsidRPr="39ABEFBA">
        <w:rPr>
          <w:rFonts w:ascii="Times New Roman" w:eastAsia="Calibri" w:hAnsi="Times New Roman" w:cs="Times New Roman"/>
          <w:sz w:val="24"/>
          <w:szCs w:val="24"/>
        </w:rPr>
        <w:t xml:space="preserve">: dokumentacja uzasadniająca potrzebę przyznania tej dotacji </w:t>
      </w:r>
      <w:r w:rsidR="00D82ED8" w:rsidRPr="39ABEFBA">
        <w:rPr>
          <w:rFonts w:ascii="Times New Roman" w:eastAsia="Calibri" w:hAnsi="Times New Roman" w:cs="Times New Roman"/>
          <w:sz w:val="24"/>
          <w:szCs w:val="24"/>
        </w:rPr>
        <w:t>uczestnikowi podpisana przez organizację wysyłającą lub organizację przyjmującą</w:t>
      </w:r>
      <w:r w:rsidR="005347A3" w:rsidRPr="1793A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w której to dokumentacji wyszczególniono imię i nazwisko uczestnika, cel działania, a także</w:t>
      </w:r>
      <w:r w:rsidR="008D443E" w:rsidRPr="39ABEFBA">
        <w:rPr>
          <w:rFonts w:ascii="Times New Roman" w:eastAsia="Calibri" w:hAnsi="Times New Roman" w:cs="Times New Roman"/>
          <w:sz w:val="24"/>
          <w:szCs w:val="24"/>
        </w:rPr>
        <w:t xml:space="preserve"> faktyczne</w:t>
      </w:r>
      <w:r w:rsidR="005347A3" w:rsidRPr="1793A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daty jego rozpoczęcia i zakończenia; dokumentacja planowanych rzeczywistych kosztów i dowód ich zatwierdzenia przez </w:t>
      </w:r>
      <w:r w:rsidR="1793A485" w:rsidRPr="1793A485">
        <w:rPr>
          <w:rFonts w:ascii="Times New Roman" w:eastAsia="Calibri" w:hAnsi="Times New Roman" w:cs="Times New Roman"/>
          <w:sz w:val="24"/>
          <w:szCs w:val="24"/>
        </w:rPr>
        <w:t>a</w:t>
      </w:r>
      <w:r w:rsidR="005347A3" w:rsidRPr="1793A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gencję </w:t>
      </w:r>
      <w:r w:rsidR="1793A485" w:rsidRPr="1793A485">
        <w:rPr>
          <w:rFonts w:ascii="Times New Roman" w:eastAsia="Calibri" w:hAnsi="Times New Roman" w:cs="Times New Roman"/>
          <w:sz w:val="24"/>
          <w:szCs w:val="24"/>
        </w:rPr>
        <w:t>n</w:t>
      </w:r>
      <w:r w:rsidR="005347A3" w:rsidRPr="1793A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arodową.</w:t>
      </w:r>
    </w:p>
    <w:p w14:paraId="7BC27182" w14:textId="77777777" w:rsidR="005347A3" w:rsidRPr="005347A3" w:rsidRDefault="005347A3" w:rsidP="005347A3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ED5EAA" w14:textId="77777777" w:rsidR="00A05DE9" w:rsidRDefault="00A05DE9"/>
    <w:sectPr w:rsidR="00A05DE9" w:rsidSect="000227A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565A2" w14:textId="77777777" w:rsidR="007F6D42" w:rsidRDefault="007F6D42">
      <w:pPr>
        <w:spacing w:after="0" w:line="240" w:lineRule="auto"/>
      </w:pPr>
      <w:r>
        <w:separator/>
      </w:r>
    </w:p>
  </w:endnote>
  <w:endnote w:type="continuationSeparator" w:id="0">
    <w:p w14:paraId="50498950" w14:textId="77777777" w:rsidR="007F6D42" w:rsidRDefault="007F6D42">
      <w:pPr>
        <w:spacing w:after="0" w:line="240" w:lineRule="auto"/>
      </w:pPr>
      <w:r>
        <w:continuationSeparator/>
      </w:r>
    </w:p>
  </w:endnote>
  <w:endnote w:type="continuationNotice" w:id="1">
    <w:p w14:paraId="2EDD72F4" w14:textId="77777777" w:rsidR="007F6D42" w:rsidRDefault="007F6D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DF26" w14:textId="77777777" w:rsidR="00CC5E52" w:rsidRPr="005347A3" w:rsidRDefault="00CC5E52">
    <w:pPr>
      <w:pStyle w:val="Stopka"/>
      <w:rPr>
        <w:rFonts w:ascii="Calibri Light" w:eastAsia="Times New Roman" w:hAnsi="Calibri Light" w:cs="Times New Roman"/>
        <w:color w:val="808080"/>
        <w:sz w:val="20"/>
        <w:szCs w:val="20"/>
      </w:rPr>
    </w:pPr>
    <w:r w:rsidRPr="005347A3">
      <w:rPr>
        <w:noProof/>
        <w:color w:val="8080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FB9751" wp14:editId="55E8C8D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ect id="Prostokąt 77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40D8B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>
              <w10:wrap anchorx="page" anchory="page"/>
            </v:rect>
          </w:pict>
        </mc:Fallback>
      </mc:AlternateContent>
    </w:r>
    <w:r w:rsidRPr="005347A3">
      <w:rPr>
        <w:color w:val="808080"/>
      </w:rPr>
      <w:t xml:space="preserve"> </w:t>
    </w:r>
    <w:r w:rsidRPr="005347A3">
      <w:rPr>
        <w:rFonts w:ascii="Calibri Light" w:eastAsia="Times New Roman" w:hAnsi="Calibri Light" w:cs="Times New Roman"/>
        <w:color w:val="808080"/>
        <w:sz w:val="20"/>
        <w:szCs w:val="20"/>
      </w:rPr>
      <w:t xml:space="preserve">str. </w:t>
    </w:r>
    <w:r w:rsidRPr="005347A3">
      <w:rPr>
        <w:rFonts w:eastAsia="Times New Roman"/>
        <w:color w:val="808080"/>
        <w:sz w:val="20"/>
        <w:szCs w:val="20"/>
      </w:rPr>
      <w:fldChar w:fldCharType="begin"/>
    </w:r>
    <w:r w:rsidRPr="005347A3">
      <w:rPr>
        <w:color w:val="808080"/>
        <w:sz w:val="20"/>
        <w:szCs w:val="20"/>
      </w:rPr>
      <w:instrText>PAGE    \* MERGEFORMAT</w:instrText>
    </w:r>
    <w:r w:rsidRPr="005347A3">
      <w:rPr>
        <w:rFonts w:eastAsia="Times New Roman"/>
        <w:color w:val="808080"/>
        <w:sz w:val="20"/>
        <w:szCs w:val="20"/>
      </w:rPr>
      <w:fldChar w:fldCharType="separate"/>
    </w:r>
    <w:r w:rsidRPr="005347A3">
      <w:rPr>
        <w:rFonts w:ascii="Calibri Light" w:eastAsia="Times New Roman" w:hAnsi="Calibri Light" w:cs="Times New Roman"/>
        <w:color w:val="808080"/>
        <w:sz w:val="20"/>
        <w:szCs w:val="20"/>
      </w:rPr>
      <w:t>2</w:t>
    </w:r>
    <w:r w:rsidRPr="005347A3">
      <w:rPr>
        <w:rFonts w:ascii="Calibri Light" w:eastAsia="Times New Roman" w:hAnsi="Calibri Light" w:cs="Times New Roman"/>
        <w:color w:val="808080"/>
        <w:sz w:val="20"/>
        <w:szCs w:val="20"/>
      </w:rPr>
      <w:fldChar w:fldCharType="end"/>
    </w:r>
  </w:p>
  <w:p w14:paraId="23B88E92" w14:textId="77777777" w:rsidR="00CC5E52" w:rsidRPr="00C42954" w:rsidRDefault="00CC5E52" w:rsidP="00227870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>Szkolnictwo Wyższe</w:t>
    </w:r>
    <w:r w:rsidRPr="00C42954">
      <w:rPr>
        <w:rFonts w:ascii="Times New Roman" w:hAnsi="Times New Roman" w:cs="Times New Roman"/>
        <w:color w:val="000000"/>
        <w:sz w:val="20"/>
        <w:szCs w:val="20"/>
      </w:rPr>
      <w:t xml:space="preserve"> (</w:t>
    </w:r>
    <w:r>
      <w:rPr>
        <w:rFonts w:ascii="Times New Roman" w:hAnsi="Times New Roman" w:cs="Times New Roman"/>
        <w:color w:val="000000"/>
        <w:sz w:val="20"/>
        <w:szCs w:val="20"/>
      </w:rPr>
      <w:t>HED</w:t>
    </w:r>
    <w:r w:rsidRPr="00C42954">
      <w:rPr>
        <w:rFonts w:ascii="Times New Roman" w:hAnsi="Times New Roman" w:cs="Times New Roman"/>
        <w:color w:val="000000"/>
        <w:sz w:val="20"/>
        <w:szCs w:val="20"/>
      </w:rPr>
      <w:t xml:space="preserve">) – Erasmus+ Mobilność edukacyjna (KA1) </w:t>
    </w:r>
  </w:p>
  <w:p w14:paraId="7A4241BD" w14:textId="77777777" w:rsidR="00CC5E52" w:rsidRPr="00C42954" w:rsidRDefault="00CC5E52" w:rsidP="00227870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/>
        <w:sz w:val="24"/>
      </w:rPr>
    </w:pPr>
    <w:r w:rsidRPr="00C42954">
      <w:rPr>
        <w:rFonts w:ascii="Times New Roman" w:hAnsi="Times New Roman" w:cs="Times New Roman"/>
        <w:color w:val="000000"/>
        <w:sz w:val="20"/>
        <w:szCs w:val="20"/>
      </w:rPr>
      <w:t>http://erasmusplus.org.pl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15D9B" w14:textId="77777777" w:rsidR="007F6D42" w:rsidRDefault="007F6D42">
      <w:pPr>
        <w:spacing w:after="0" w:line="240" w:lineRule="auto"/>
      </w:pPr>
      <w:r>
        <w:separator/>
      </w:r>
    </w:p>
  </w:footnote>
  <w:footnote w:type="continuationSeparator" w:id="0">
    <w:p w14:paraId="0183D7DD" w14:textId="77777777" w:rsidR="007F6D42" w:rsidRDefault="007F6D42">
      <w:pPr>
        <w:spacing w:after="0" w:line="240" w:lineRule="auto"/>
      </w:pPr>
      <w:r>
        <w:continuationSeparator/>
      </w:r>
    </w:p>
  </w:footnote>
  <w:footnote w:type="continuationNotice" w:id="1">
    <w:p w14:paraId="33DDAB80" w14:textId="77777777" w:rsidR="007F6D42" w:rsidRDefault="007F6D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5"/>
    <w:multiLevelType w:val="multilevel"/>
    <w:tmpl w:val="6FBAC762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3" w15:restartNumberingAfterBreak="0">
    <w:nsid w:val="0AD41374"/>
    <w:multiLevelType w:val="hybridMultilevel"/>
    <w:tmpl w:val="32040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E5312"/>
    <w:multiLevelType w:val="hybridMultilevel"/>
    <w:tmpl w:val="2612C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3795"/>
    <w:multiLevelType w:val="hybridMultilevel"/>
    <w:tmpl w:val="75E8DF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53CB8C8">
      <w:start w:val="1"/>
      <w:numFmt w:val="lowerLetter"/>
      <w:lvlText w:val="%2."/>
      <w:lvlJc w:val="left"/>
      <w:pPr>
        <w:ind w:left="1440" w:hanging="360"/>
      </w:pPr>
    </w:lvl>
    <w:lvl w:ilvl="2" w:tplc="86E0A9D4">
      <w:start w:val="1"/>
      <w:numFmt w:val="lowerRoman"/>
      <w:lvlText w:val="%3."/>
      <w:lvlJc w:val="right"/>
      <w:pPr>
        <w:ind w:left="2160" w:hanging="180"/>
      </w:pPr>
    </w:lvl>
    <w:lvl w:ilvl="3" w:tplc="B394A1C4">
      <w:start w:val="1"/>
      <w:numFmt w:val="decimal"/>
      <w:lvlText w:val="%4."/>
      <w:lvlJc w:val="left"/>
      <w:pPr>
        <w:ind w:left="2880" w:hanging="360"/>
      </w:pPr>
    </w:lvl>
    <w:lvl w:ilvl="4" w:tplc="8ABCCE02">
      <w:start w:val="1"/>
      <w:numFmt w:val="lowerLetter"/>
      <w:lvlText w:val="%5."/>
      <w:lvlJc w:val="left"/>
      <w:pPr>
        <w:ind w:left="3600" w:hanging="360"/>
      </w:pPr>
    </w:lvl>
    <w:lvl w:ilvl="5" w:tplc="CB10AE8C">
      <w:start w:val="1"/>
      <w:numFmt w:val="lowerRoman"/>
      <w:lvlText w:val="%6."/>
      <w:lvlJc w:val="right"/>
      <w:pPr>
        <w:ind w:left="4320" w:hanging="180"/>
      </w:pPr>
    </w:lvl>
    <w:lvl w:ilvl="6" w:tplc="9ECEB0C4">
      <w:start w:val="1"/>
      <w:numFmt w:val="decimal"/>
      <w:lvlText w:val="%7."/>
      <w:lvlJc w:val="left"/>
      <w:pPr>
        <w:ind w:left="5040" w:hanging="360"/>
      </w:pPr>
    </w:lvl>
    <w:lvl w:ilvl="7" w:tplc="E43A1AAA">
      <w:start w:val="1"/>
      <w:numFmt w:val="lowerLetter"/>
      <w:lvlText w:val="%8."/>
      <w:lvlJc w:val="left"/>
      <w:pPr>
        <w:ind w:left="5760" w:hanging="360"/>
      </w:pPr>
    </w:lvl>
    <w:lvl w:ilvl="8" w:tplc="518CB6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4A847302"/>
    <w:multiLevelType w:val="hybridMultilevel"/>
    <w:tmpl w:val="699CE748"/>
    <w:lvl w:ilvl="0" w:tplc="1CF6703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10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7B2B36"/>
    <w:multiLevelType w:val="hybridMultilevel"/>
    <w:tmpl w:val="601A3CAA"/>
    <w:lvl w:ilvl="0" w:tplc="908242B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15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469131">
    <w:abstractNumId w:val="0"/>
  </w:num>
  <w:num w:numId="2" w16cid:durableId="1807161849">
    <w:abstractNumId w:val="1"/>
  </w:num>
  <w:num w:numId="3" w16cid:durableId="1511288865">
    <w:abstractNumId w:val="9"/>
  </w:num>
  <w:num w:numId="4" w16cid:durableId="31541908">
    <w:abstractNumId w:val="2"/>
  </w:num>
  <w:num w:numId="5" w16cid:durableId="44720402">
    <w:abstractNumId w:val="6"/>
  </w:num>
  <w:num w:numId="6" w16cid:durableId="1871987099">
    <w:abstractNumId w:val="13"/>
  </w:num>
  <w:num w:numId="7" w16cid:durableId="27072871">
    <w:abstractNumId w:val="10"/>
  </w:num>
  <w:num w:numId="8" w16cid:durableId="1587499974">
    <w:abstractNumId w:val="8"/>
  </w:num>
  <w:num w:numId="9" w16cid:durableId="1277978396">
    <w:abstractNumId w:val="12"/>
  </w:num>
  <w:num w:numId="10" w16cid:durableId="495347084">
    <w:abstractNumId w:val="14"/>
  </w:num>
  <w:num w:numId="11" w16cid:durableId="1468280256">
    <w:abstractNumId w:val="11"/>
  </w:num>
  <w:num w:numId="12" w16cid:durableId="1226263576">
    <w:abstractNumId w:val="7"/>
  </w:num>
  <w:num w:numId="13" w16cid:durableId="945969187">
    <w:abstractNumId w:val="16"/>
  </w:num>
  <w:num w:numId="14" w16cid:durableId="1824468106">
    <w:abstractNumId w:val="15"/>
  </w:num>
  <w:num w:numId="15" w16cid:durableId="621807709">
    <w:abstractNumId w:val="3"/>
  </w:num>
  <w:num w:numId="16" w16cid:durableId="1101415417">
    <w:abstractNumId w:val="5"/>
  </w:num>
  <w:num w:numId="17" w16cid:durableId="1329164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A3"/>
    <w:rsid w:val="00004088"/>
    <w:rsid w:val="000227A6"/>
    <w:rsid w:val="00044C3A"/>
    <w:rsid w:val="00046A85"/>
    <w:rsid w:val="00073B3A"/>
    <w:rsid w:val="00084E73"/>
    <w:rsid w:val="000A3A44"/>
    <w:rsid w:val="000E2EE0"/>
    <w:rsid w:val="000F2275"/>
    <w:rsid w:val="001214F0"/>
    <w:rsid w:val="001450BE"/>
    <w:rsid w:val="0015448E"/>
    <w:rsid w:val="00157C64"/>
    <w:rsid w:val="00171D34"/>
    <w:rsid w:val="00227870"/>
    <w:rsid w:val="00236F62"/>
    <w:rsid w:val="002571DF"/>
    <w:rsid w:val="002581D8"/>
    <w:rsid w:val="00262C4F"/>
    <w:rsid w:val="00265031"/>
    <w:rsid w:val="00276D0D"/>
    <w:rsid w:val="00304357"/>
    <w:rsid w:val="0036433B"/>
    <w:rsid w:val="003D7CFA"/>
    <w:rsid w:val="003E7C02"/>
    <w:rsid w:val="00403AE5"/>
    <w:rsid w:val="00415B85"/>
    <w:rsid w:val="0042472D"/>
    <w:rsid w:val="004407E9"/>
    <w:rsid w:val="00474769"/>
    <w:rsid w:val="00494241"/>
    <w:rsid w:val="005043CE"/>
    <w:rsid w:val="005107F0"/>
    <w:rsid w:val="0052408A"/>
    <w:rsid w:val="005347A3"/>
    <w:rsid w:val="00537EF3"/>
    <w:rsid w:val="0054334C"/>
    <w:rsid w:val="00582C20"/>
    <w:rsid w:val="00583B1F"/>
    <w:rsid w:val="005D36A0"/>
    <w:rsid w:val="006043C5"/>
    <w:rsid w:val="0062003A"/>
    <w:rsid w:val="00667359"/>
    <w:rsid w:val="006D4DE9"/>
    <w:rsid w:val="00715E9A"/>
    <w:rsid w:val="0072160F"/>
    <w:rsid w:val="00722363"/>
    <w:rsid w:val="007256F2"/>
    <w:rsid w:val="00755995"/>
    <w:rsid w:val="00790BD2"/>
    <w:rsid w:val="007968D1"/>
    <w:rsid w:val="007C0578"/>
    <w:rsid w:val="007D4994"/>
    <w:rsid w:val="007E0082"/>
    <w:rsid w:val="007F6D42"/>
    <w:rsid w:val="00800FA0"/>
    <w:rsid w:val="008025FD"/>
    <w:rsid w:val="00802F15"/>
    <w:rsid w:val="008814B1"/>
    <w:rsid w:val="008A04DC"/>
    <w:rsid w:val="008B3D6D"/>
    <w:rsid w:val="008B6632"/>
    <w:rsid w:val="008C46BE"/>
    <w:rsid w:val="008C4D17"/>
    <w:rsid w:val="008C7A55"/>
    <w:rsid w:val="008D443E"/>
    <w:rsid w:val="008D4D7E"/>
    <w:rsid w:val="008E3EE7"/>
    <w:rsid w:val="00925C08"/>
    <w:rsid w:val="0093029B"/>
    <w:rsid w:val="00937264"/>
    <w:rsid w:val="009402E8"/>
    <w:rsid w:val="00943190"/>
    <w:rsid w:val="0094513E"/>
    <w:rsid w:val="009523B4"/>
    <w:rsid w:val="0097106F"/>
    <w:rsid w:val="00971926"/>
    <w:rsid w:val="00976C52"/>
    <w:rsid w:val="00980CE4"/>
    <w:rsid w:val="009D71E0"/>
    <w:rsid w:val="009E3763"/>
    <w:rsid w:val="009F5E74"/>
    <w:rsid w:val="00A00F02"/>
    <w:rsid w:val="00A05DE9"/>
    <w:rsid w:val="00A17081"/>
    <w:rsid w:val="00A2016C"/>
    <w:rsid w:val="00A54956"/>
    <w:rsid w:val="00A56E31"/>
    <w:rsid w:val="00A61920"/>
    <w:rsid w:val="00A9034A"/>
    <w:rsid w:val="00AA7CBF"/>
    <w:rsid w:val="00AC01EA"/>
    <w:rsid w:val="00AE0E8E"/>
    <w:rsid w:val="00AE7BE8"/>
    <w:rsid w:val="00B16BFB"/>
    <w:rsid w:val="00B1790F"/>
    <w:rsid w:val="00B43F79"/>
    <w:rsid w:val="00B46E22"/>
    <w:rsid w:val="00B526A6"/>
    <w:rsid w:val="00B55945"/>
    <w:rsid w:val="00BC069D"/>
    <w:rsid w:val="00BD2356"/>
    <w:rsid w:val="00C4092C"/>
    <w:rsid w:val="00C41914"/>
    <w:rsid w:val="00C55880"/>
    <w:rsid w:val="00C83E97"/>
    <w:rsid w:val="00CB16AC"/>
    <w:rsid w:val="00CB212A"/>
    <w:rsid w:val="00CC267C"/>
    <w:rsid w:val="00CC5E52"/>
    <w:rsid w:val="00CD4065"/>
    <w:rsid w:val="00CF4FEA"/>
    <w:rsid w:val="00D17B00"/>
    <w:rsid w:val="00D327B3"/>
    <w:rsid w:val="00D549E7"/>
    <w:rsid w:val="00D66406"/>
    <w:rsid w:val="00D82ED8"/>
    <w:rsid w:val="00D97CD1"/>
    <w:rsid w:val="00DC5AB2"/>
    <w:rsid w:val="00DD0A70"/>
    <w:rsid w:val="00DF6FE4"/>
    <w:rsid w:val="00E06AC6"/>
    <w:rsid w:val="00E256CD"/>
    <w:rsid w:val="00E60572"/>
    <w:rsid w:val="00E66E9E"/>
    <w:rsid w:val="00EF55AF"/>
    <w:rsid w:val="00F13C7C"/>
    <w:rsid w:val="00F47C68"/>
    <w:rsid w:val="00F5037D"/>
    <w:rsid w:val="00F6172D"/>
    <w:rsid w:val="00FD592E"/>
    <w:rsid w:val="00FD7EAB"/>
    <w:rsid w:val="00FE0D3C"/>
    <w:rsid w:val="00FE78EE"/>
    <w:rsid w:val="034079E1"/>
    <w:rsid w:val="03927179"/>
    <w:rsid w:val="03BA9B75"/>
    <w:rsid w:val="046BD184"/>
    <w:rsid w:val="04D4A08A"/>
    <w:rsid w:val="06DB18B2"/>
    <w:rsid w:val="083F8FE1"/>
    <w:rsid w:val="0D27FBFC"/>
    <w:rsid w:val="0D63A0CB"/>
    <w:rsid w:val="0E90DD3B"/>
    <w:rsid w:val="11435918"/>
    <w:rsid w:val="16FCD5B1"/>
    <w:rsid w:val="1793A485"/>
    <w:rsid w:val="1989BEF1"/>
    <w:rsid w:val="1E0B6089"/>
    <w:rsid w:val="230D249E"/>
    <w:rsid w:val="2506ABDA"/>
    <w:rsid w:val="2D750867"/>
    <w:rsid w:val="2D75C015"/>
    <w:rsid w:val="2D9673AF"/>
    <w:rsid w:val="317A84B3"/>
    <w:rsid w:val="3198ACF9"/>
    <w:rsid w:val="31B10357"/>
    <w:rsid w:val="324349E3"/>
    <w:rsid w:val="35970A18"/>
    <w:rsid w:val="373DDD9A"/>
    <w:rsid w:val="39136DB8"/>
    <w:rsid w:val="39ABEFBA"/>
    <w:rsid w:val="3BD3E501"/>
    <w:rsid w:val="3D7E33BD"/>
    <w:rsid w:val="3E7A034B"/>
    <w:rsid w:val="4078D426"/>
    <w:rsid w:val="43A955F3"/>
    <w:rsid w:val="44C18067"/>
    <w:rsid w:val="4527C280"/>
    <w:rsid w:val="4657F7B2"/>
    <w:rsid w:val="46C3DFE5"/>
    <w:rsid w:val="46DC14F7"/>
    <w:rsid w:val="46EDE3E2"/>
    <w:rsid w:val="497C981F"/>
    <w:rsid w:val="4BED71A6"/>
    <w:rsid w:val="4CBC4BC8"/>
    <w:rsid w:val="4DE5D747"/>
    <w:rsid w:val="4E317676"/>
    <w:rsid w:val="4F680360"/>
    <w:rsid w:val="51EFA593"/>
    <w:rsid w:val="5B4970EF"/>
    <w:rsid w:val="5C68127D"/>
    <w:rsid w:val="5D09A45E"/>
    <w:rsid w:val="5D4E6211"/>
    <w:rsid w:val="61A59F75"/>
    <w:rsid w:val="631D1B1D"/>
    <w:rsid w:val="670B289D"/>
    <w:rsid w:val="69D0B579"/>
    <w:rsid w:val="6B9104C9"/>
    <w:rsid w:val="6BE5673B"/>
    <w:rsid w:val="6CE18C33"/>
    <w:rsid w:val="752A534A"/>
    <w:rsid w:val="78ACBCC8"/>
    <w:rsid w:val="7A91E5C7"/>
    <w:rsid w:val="7ED01D5B"/>
    <w:rsid w:val="7F37834F"/>
    <w:rsid w:val="7F8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A785"/>
  <w15:chartTrackingRefBased/>
  <w15:docId w15:val="{B79A8374-590E-41D0-BDB3-342B0257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4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4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4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4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4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4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4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4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47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47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47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47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47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47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4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4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4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4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4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47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47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47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4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47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47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534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47A3"/>
  </w:style>
  <w:style w:type="paragraph" w:styleId="Stopka">
    <w:name w:val="footer"/>
    <w:basedOn w:val="Normalny"/>
    <w:link w:val="StopkaZnak"/>
    <w:uiPriority w:val="99"/>
    <w:semiHidden/>
    <w:unhideWhenUsed/>
    <w:rsid w:val="00534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47A3"/>
  </w:style>
  <w:style w:type="paragraph" w:styleId="Poprawka">
    <w:name w:val="Revision"/>
    <w:hidden/>
    <w:uiPriority w:val="99"/>
    <w:semiHidden/>
    <w:rsid w:val="005347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6A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6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A8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4DE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D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7BE8"/>
    <w:rPr>
      <w:color w:val="96607D" w:themeColor="followedHyperlink"/>
      <w:u w:val="single"/>
    </w:rPr>
  </w:style>
  <w:style w:type="paragraph" w:customStyle="1" w:styleId="pf0">
    <w:name w:val="pf0"/>
    <w:basedOn w:val="Normalny"/>
    <w:rsid w:val="00D3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D327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tools/distance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2606</Words>
  <Characters>15637</Characters>
  <Application>Microsoft Office Word</Application>
  <DocSecurity>0</DocSecurity>
  <Lines>130</Lines>
  <Paragraphs>36</Paragraphs>
  <ScaleCrop>false</ScaleCrop>
  <Company>Fundacja Rozwoju Systemu Edukacji</Company>
  <LinksUpToDate>false</LinksUpToDate>
  <CharactersWithSpaces>18207</CharactersWithSpaces>
  <SharedDoc>false</SharedDoc>
  <HLinks>
    <vt:vector size="12" baseType="variant">
      <vt:variant>
        <vt:i4>917630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http://ec.europa.eu/programmes/erasmus-plus/tools/distance_en.htm</vt:lpwstr>
      </vt:variant>
      <vt:variant>
        <vt:lpwstr/>
      </vt:variant>
      <vt:variant>
        <vt:i4>6815774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http://ec.europa.eu/programmes/erasmus-plus/resources/distance-calculator_pl;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3</cp:revision>
  <dcterms:created xsi:type="dcterms:W3CDTF">2025-06-24T10:44:00Z</dcterms:created>
  <dcterms:modified xsi:type="dcterms:W3CDTF">2025-06-24T10:50:00Z</dcterms:modified>
</cp:coreProperties>
</file>