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5625" w14:textId="77777777" w:rsidR="00104707" w:rsidRPr="00104707" w:rsidRDefault="00104707" w:rsidP="00104707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104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104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</w:t>
      </w:r>
      <w:r w:rsidRPr="00104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>)</w:t>
      </w:r>
    </w:p>
    <w:p w14:paraId="2FE5A6F4" w14:textId="77777777" w:rsidR="00104707" w:rsidRPr="00104707" w:rsidRDefault="00104707" w:rsidP="00104707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42AC7E" w14:textId="77777777" w:rsidR="00104707" w:rsidRPr="00104707" w:rsidRDefault="00104707" w:rsidP="00104707">
      <w:pPr>
        <w:widowControl w:val="0"/>
        <w:spacing w:after="26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104707">
        <w:rPr>
          <w:rFonts w:ascii="Times New Roman" w:eastAsia="Calibri" w:hAnsi="Times New Roman" w:cs="Times New Roman"/>
          <w:b/>
          <w:bCs/>
          <w:highlight w:val="yellow"/>
          <w:u w:val="single"/>
        </w:rPr>
        <w:t>YOU 153</w:t>
      </w:r>
    </w:p>
    <w:p w14:paraId="50E02D0C" w14:textId="77777777" w:rsidR="00104707" w:rsidRPr="00104707" w:rsidRDefault="00104707" w:rsidP="00104707">
      <w:pPr>
        <w:spacing w:after="0" w:line="256" w:lineRule="auto"/>
        <w:jc w:val="center"/>
        <w:rPr>
          <w:rFonts w:ascii="Times New Roman" w:eastAsia="Calibri" w:hAnsi="Times New Roman" w:cs="Times New Roman"/>
          <w:b/>
          <w:smallCaps/>
          <w:kern w:val="0"/>
          <w:szCs w:val="24"/>
          <w:u w:val="single"/>
          <w14:ligatures w14:val="none"/>
        </w:rPr>
      </w:pPr>
      <w:r w:rsidRPr="00104707">
        <w:rPr>
          <w:rFonts w:ascii="Times New Roman" w:eastAsia="Calibri" w:hAnsi="Times New Roman" w:cs="Times New Roman"/>
          <w:b/>
          <w:smallCaps/>
          <w:kern w:val="0"/>
          <w:u w:val="single"/>
          <w14:ligatures w14:val="none"/>
        </w:rPr>
        <w:t>Akcja kluczowa 1 – OSOBY PRACUJĄCE Z MŁODZIEŻĄ</w:t>
      </w:r>
    </w:p>
    <w:p w14:paraId="432D05F1" w14:textId="77777777" w:rsidR="00104707" w:rsidRPr="00104707" w:rsidRDefault="00104707" w:rsidP="00104707">
      <w:pPr>
        <w:spacing w:after="0" w:line="256" w:lineRule="auto"/>
        <w:jc w:val="center"/>
        <w:rPr>
          <w:rFonts w:ascii="Times New Roman" w:eastAsia="Calibri" w:hAnsi="Times New Roman" w:cs="Times New Roman"/>
          <w:b/>
          <w:smallCaps/>
          <w:kern w:val="0"/>
          <w:szCs w:val="24"/>
          <w:u w:val="single"/>
          <w14:ligatures w14:val="none"/>
        </w:rPr>
      </w:pPr>
    </w:p>
    <w:p w14:paraId="3149CD90" w14:textId="77777777" w:rsidR="00104707" w:rsidRPr="00104707" w:rsidRDefault="00104707" w:rsidP="00104707">
      <w:pPr>
        <w:spacing w:after="0" w:line="256" w:lineRule="auto"/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</w:pPr>
    </w:p>
    <w:p w14:paraId="775FCD13" w14:textId="0136E97F" w:rsidR="00104707" w:rsidRPr="00104707" w:rsidRDefault="00104707" w:rsidP="00104707">
      <w:pPr>
        <w:tabs>
          <w:tab w:val="left" w:pos="851"/>
        </w:tabs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04707">
        <w:rPr>
          <w:rFonts w:ascii="Times New Roman" w:eastAsia="Times New Roman" w:hAnsi="Times New Roman" w:cs="Times New Roman"/>
          <w:b/>
          <w:sz w:val="24"/>
        </w:rPr>
        <w:t xml:space="preserve">1. Podróż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342C96" w:rsidRPr="00342C96" w14:paraId="53297F18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52AE59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BF76666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z wykorzystaniem ekologicznych środków transportu – wysokość stawki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201744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bez wykorzystania ekologicznych środków transportu – wysokość stawki na uczestnika</w:t>
            </w:r>
          </w:p>
        </w:tc>
      </w:tr>
      <w:tr w:rsidR="00342C96" w:rsidRPr="00342C96" w14:paraId="001FC2C0" w14:textId="77777777" w:rsidTr="00342C96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8B11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10–99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2BB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8A49B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 EUR </w:t>
            </w:r>
          </w:p>
        </w:tc>
      </w:tr>
      <w:tr w:rsidR="00342C96" w:rsidRPr="00342C96" w14:paraId="51C66EF5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FD90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100–499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77E5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AB7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211 EUR </w:t>
            </w:r>
          </w:p>
        </w:tc>
      </w:tr>
      <w:tr w:rsidR="00342C96" w:rsidRPr="00342C96" w14:paraId="632F43F5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9AD9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500–1999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5B9D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546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309 EUR </w:t>
            </w:r>
          </w:p>
        </w:tc>
      </w:tr>
      <w:tr w:rsidR="00342C96" w:rsidRPr="00342C96" w14:paraId="46A83F98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EC91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2 000–2 999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32FF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C94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395 EUR </w:t>
            </w:r>
          </w:p>
        </w:tc>
      </w:tr>
      <w:tr w:rsidR="00342C96" w:rsidRPr="00342C96" w14:paraId="69D06847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7E4A" w14:textId="6FA652FF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000–3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F14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611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580 EUR </w:t>
            </w:r>
          </w:p>
        </w:tc>
      </w:tr>
      <w:tr w:rsidR="00342C96" w:rsidRPr="00342C96" w14:paraId="3CA2B094" w14:textId="77777777" w:rsidTr="00342C96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09A" w14:textId="1B2F2711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4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000–7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FAF6" w14:textId="27E39899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BBBDD" w14:textId="28DBCFA9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</w:tr>
      <w:tr w:rsidR="00342C96" w:rsidRPr="00342C96" w14:paraId="46EC6B32" w14:textId="77777777" w:rsidTr="00342C96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E672" w14:textId="77777777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8 000 km lub więcej: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8499" w14:textId="7FD76F5C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AB9C" w14:textId="7F6495E9" w:rsidR="00342C96" w:rsidRPr="00342C96" w:rsidRDefault="00342C96" w:rsidP="00342C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7917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342C9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</w:tr>
    </w:tbl>
    <w:p w14:paraId="314B41D9" w14:textId="77777777" w:rsid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65B246F" w14:textId="77777777" w:rsidR="00342C96" w:rsidRPr="00104707" w:rsidRDefault="00342C96" w:rsidP="00104707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D1B49EE" w14:textId="32A85599" w:rsidR="00104707" w:rsidRPr="00104707" w:rsidRDefault="00104707" w:rsidP="00104707">
      <w:p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„odległość” stanowi odległość w jedną stronę między miejscem pochodzenia, a miejscem działania, zaś „wysokość stawki” obejmuje wkład w podróż do miejsca działania i z powrotem. W przypadku działań objazdowych wnioskodawca powinien zsumować odległości między poszczególnymi miejscami i wybrać przedział odległości odpowiadający tej sumie.</w:t>
      </w:r>
    </w:p>
    <w:p w14:paraId="3AEFE004" w14:textId="77777777" w:rsidR="00104707" w:rsidRPr="00104707" w:rsidRDefault="00104707" w:rsidP="00104707">
      <w:pPr>
        <w:spacing w:after="0" w:line="256" w:lineRule="auto"/>
        <w:ind w:left="1134" w:hanging="1134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F71C7E8" w14:textId="77777777" w:rsidR="00104707" w:rsidRPr="00104707" w:rsidRDefault="00104707" w:rsidP="00104707">
      <w:pPr>
        <w:spacing w:after="0" w:line="256" w:lineRule="auto"/>
        <w:ind w:left="1134" w:hanging="1134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B0EC993" w14:textId="77777777" w:rsidR="00104707" w:rsidRPr="00104707" w:rsidRDefault="00104707" w:rsidP="00104707">
      <w:pPr>
        <w:spacing w:after="0" w:line="256" w:lineRule="auto"/>
        <w:ind w:left="1134" w:hanging="1134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104707">
        <w:rPr>
          <w:rFonts w:ascii="Times New Roman" w:eastAsia="Calibri" w:hAnsi="Times New Roman" w:cs="Times New Roman"/>
          <w:b/>
          <w:kern w:val="0"/>
          <w14:ligatures w14:val="none"/>
        </w:rPr>
        <w:t>2. Wsparcie indywidualne</w:t>
      </w:r>
    </w:p>
    <w:p w14:paraId="3157F262" w14:textId="77777777" w:rsidR="00104707" w:rsidRPr="00104707" w:rsidRDefault="00104707" w:rsidP="00104707">
      <w:pPr>
        <w:spacing w:after="0" w:line="256" w:lineRule="auto"/>
        <w:ind w:left="1134" w:hanging="1134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3263" w:type="pct"/>
        <w:jc w:val="center"/>
        <w:tblLook w:val="0000" w:firstRow="0" w:lastRow="0" w:firstColumn="0" w:lastColumn="0" w:noHBand="0" w:noVBand="0"/>
      </w:tblPr>
      <w:tblGrid>
        <w:gridCol w:w="3840"/>
        <w:gridCol w:w="2075"/>
      </w:tblGrid>
      <w:tr w:rsidR="00342C96" w:rsidRPr="00342C96" w14:paraId="59176310" w14:textId="77777777" w:rsidTr="00E647C9">
        <w:trPr>
          <w:cantSplit/>
          <w:jc w:val="center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2C8C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B93ECCD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245A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2"/>
                <w:szCs w:val="12"/>
                <w14:ligatures w14:val="none"/>
              </w:rPr>
            </w:pPr>
          </w:p>
          <w:p w14:paraId="4BAF6D28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  <w:t>Wsparcie indywidualne</w:t>
            </w:r>
          </w:p>
          <w:p w14:paraId="23FB76EB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  <w:p w14:paraId="010DD19E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0A2F4F60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2"/>
                <w:szCs w:val="12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  <w:t>(w EUR na dzień)</w:t>
            </w:r>
          </w:p>
          <w:p w14:paraId="5404D976" w14:textId="77777777" w:rsidR="00342C96" w:rsidRPr="00342C96" w:rsidRDefault="00342C96" w:rsidP="00342C96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342C96" w:rsidRPr="00342C96" w14:paraId="6FFA13A7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04137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Austria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C41B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84  </w:t>
            </w:r>
          </w:p>
        </w:tc>
      </w:tr>
      <w:tr w:rsidR="00342C96" w:rsidRPr="00342C96" w14:paraId="4E181B5D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0D152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Belgia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271B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88  </w:t>
            </w:r>
          </w:p>
        </w:tc>
      </w:tr>
      <w:tr w:rsidR="00342C96" w:rsidRPr="00342C96" w14:paraId="021A0BD8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E8F7C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Bułgaria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5393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58  </w:t>
            </w:r>
          </w:p>
        </w:tc>
      </w:tr>
      <w:tr w:rsidR="00342C96" w:rsidRPr="00342C96" w14:paraId="0888F58D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4FDFD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Chorwacja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A64F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75 </w:t>
            </w:r>
          </w:p>
        </w:tc>
      </w:tr>
      <w:tr w:rsidR="00342C96" w:rsidRPr="00342C96" w14:paraId="3FAE6BF7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0D554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Cypr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A659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81  </w:t>
            </w:r>
          </w:p>
        </w:tc>
      </w:tr>
      <w:tr w:rsidR="00342C96" w:rsidRPr="00342C96" w14:paraId="53FBF130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0AF16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Czechy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95FC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65  </w:t>
            </w:r>
          </w:p>
        </w:tc>
      </w:tr>
      <w:tr w:rsidR="00342C96" w:rsidRPr="00342C96" w14:paraId="60D11EE6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09608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lastRenderedPageBreak/>
              <w:t>Dania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7159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95 </w:t>
            </w:r>
          </w:p>
        </w:tc>
      </w:tr>
      <w:tr w:rsidR="00342C96" w:rsidRPr="00342C96" w14:paraId="78E33B8A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B46E7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Estonia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F498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76  </w:t>
            </w:r>
          </w:p>
        </w:tc>
      </w:tr>
      <w:tr w:rsidR="00342C96" w:rsidRPr="00342C96" w14:paraId="3D156303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0128C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Finlandia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509D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93  </w:t>
            </w:r>
          </w:p>
        </w:tc>
      </w:tr>
      <w:tr w:rsidR="00342C96" w:rsidRPr="00342C96" w14:paraId="6E417A76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4AF8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Macedonia Północna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06FB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57  </w:t>
            </w:r>
          </w:p>
        </w:tc>
      </w:tr>
      <w:tr w:rsidR="00342C96" w:rsidRPr="00342C96" w14:paraId="4107F14A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3F24F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Francja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9AD6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85  </w:t>
            </w:r>
          </w:p>
        </w:tc>
      </w:tr>
      <w:tr w:rsidR="00342C96" w:rsidRPr="00342C96" w14:paraId="1E33309F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6CF0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Niemcy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10D9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77  </w:t>
            </w:r>
          </w:p>
        </w:tc>
      </w:tr>
      <w:tr w:rsidR="00342C96" w:rsidRPr="00342C96" w14:paraId="4727AA3B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D0ACC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Grecja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EF14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>80</w:t>
            </w:r>
          </w:p>
        </w:tc>
      </w:tr>
      <w:tr w:rsidR="00342C96" w:rsidRPr="00342C96" w14:paraId="0435DB10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A7CB6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Węgry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F45CF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77  </w:t>
            </w:r>
          </w:p>
        </w:tc>
      </w:tr>
      <w:tr w:rsidR="00342C96" w:rsidRPr="00342C96" w14:paraId="43890305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1A585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Islandia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9558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99  </w:t>
            </w:r>
          </w:p>
        </w:tc>
      </w:tr>
      <w:tr w:rsidR="00342C96" w:rsidRPr="00342C96" w14:paraId="769F6E1F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5BD8A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Irlandia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5875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91  </w:t>
            </w:r>
          </w:p>
        </w:tc>
      </w:tr>
      <w:tr w:rsidR="00342C96" w:rsidRPr="00342C96" w14:paraId="231F3498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0917F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Włochy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A740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85  </w:t>
            </w:r>
          </w:p>
        </w:tc>
      </w:tr>
      <w:tr w:rsidR="00342C96" w:rsidRPr="00342C96" w14:paraId="21B7064A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165E2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Łotwa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97EC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66  </w:t>
            </w:r>
          </w:p>
        </w:tc>
      </w:tr>
      <w:tr w:rsidR="00342C96" w:rsidRPr="00342C96" w14:paraId="1B890F38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8F84A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Liechtenstein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D33A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84  </w:t>
            </w:r>
          </w:p>
        </w:tc>
      </w:tr>
      <w:tr w:rsidR="00342C96" w:rsidRPr="00342C96" w14:paraId="26DF2F6C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9A531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Litwa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3E71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65  </w:t>
            </w:r>
          </w:p>
        </w:tc>
      </w:tr>
      <w:tr w:rsidR="00342C96" w:rsidRPr="00342C96" w14:paraId="5AE450E4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B08D1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Luksemburg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17D0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84  </w:t>
            </w:r>
          </w:p>
        </w:tc>
      </w:tr>
      <w:tr w:rsidR="00342C96" w:rsidRPr="00342C96" w14:paraId="2623BBA4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01BDD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Malta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A961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77  </w:t>
            </w:r>
          </w:p>
        </w:tc>
      </w:tr>
      <w:tr w:rsidR="00342C96" w:rsidRPr="00342C96" w14:paraId="3E2FC255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24E68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Niderlandy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BEBA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92  </w:t>
            </w:r>
          </w:p>
        </w:tc>
      </w:tr>
      <w:tr w:rsidR="00342C96" w:rsidRPr="00342C96" w14:paraId="0AD13890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F0BC6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Norwegia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7D0E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94  </w:t>
            </w:r>
          </w:p>
        </w:tc>
      </w:tr>
      <w:tr w:rsidR="00342C96" w:rsidRPr="00342C96" w14:paraId="67B84F85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3A1D0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Polska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7690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68  </w:t>
            </w:r>
          </w:p>
        </w:tc>
      </w:tr>
      <w:tr w:rsidR="00342C96" w:rsidRPr="00342C96" w14:paraId="04D4497E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FA006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Portugalia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BF93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78  </w:t>
            </w:r>
          </w:p>
        </w:tc>
      </w:tr>
      <w:tr w:rsidR="00342C96" w:rsidRPr="00342C96" w14:paraId="519AEF01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40724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Rumunia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DBE7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64  </w:t>
            </w:r>
          </w:p>
        </w:tc>
      </w:tr>
      <w:tr w:rsidR="00342C96" w:rsidRPr="00342C96" w14:paraId="1FE29D1D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FDB25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Serbia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F5DB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59  </w:t>
            </w:r>
          </w:p>
        </w:tc>
      </w:tr>
      <w:tr w:rsidR="00342C96" w:rsidRPr="00342C96" w14:paraId="4B8C603A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2311C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Słowacja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D543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67  </w:t>
            </w:r>
          </w:p>
        </w:tc>
      </w:tr>
      <w:tr w:rsidR="00342C96" w:rsidRPr="00342C96" w14:paraId="397D9EB3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478B2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Słowenia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2685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78  </w:t>
            </w:r>
          </w:p>
        </w:tc>
      </w:tr>
      <w:tr w:rsidR="00342C96" w:rsidRPr="00342C96" w14:paraId="2DE42180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FF76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Hiszpania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21D1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81  </w:t>
            </w:r>
          </w:p>
        </w:tc>
      </w:tr>
      <w:tr w:rsidR="00342C96" w:rsidRPr="00342C96" w14:paraId="051CC3C4" w14:textId="77777777" w:rsidTr="00E647C9">
        <w:trPr>
          <w:trHeight w:val="65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5E56C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Szwecja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235F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87  </w:t>
            </w:r>
          </w:p>
        </w:tc>
      </w:tr>
      <w:tr w:rsidR="00342C96" w:rsidRPr="00342C96" w14:paraId="43317467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ED7EC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kern w:val="0"/>
                <w14:ligatures w14:val="none"/>
              </w:rPr>
              <w:t>Turcja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4888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68  </w:t>
            </w:r>
          </w:p>
        </w:tc>
      </w:tr>
      <w:tr w:rsidR="00342C96" w:rsidRPr="00342C96" w14:paraId="6FDE2243" w14:textId="77777777" w:rsidTr="00E647C9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B7BF1" w14:textId="77777777" w:rsidR="00342C96" w:rsidRPr="00342C96" w:rsidRDefault="00342C96" w:rsidP="00342C96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b/>
                <w:kern w:val="0"/>
                <w:sz w:val="18"/>
                <w14:ligatures w14:val="none"/>
              </w:rPr>
              <w:t>Sąsiadujące państwa trzecie niestowarzyszone z programem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B54C" w14:textId="77777777" w:rsidR="00342C96" w:rsidRPr="00342C96" w:rsidRDefault="00342C96" w:rsidP="00342C96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342C96">
              <w:rPr>
                <w:rFonts w:ascii="Times New Roman" w:eastAsia="Calibri" w:hAnsi="Times New Roman" w:cs="Arial"/>
                <w:color w:val="000000"/>
                <w:kern w:val="0"/>
                <w14:ligatures w14:val="none"/>
              </w:rPr>
              <w:t xml:space="preserve">62  </w:t>
            </w:r>
          </w:p>
        </w:tc>
      </w:tr>
    </w:tbl>
    <w:p w14:paraId="37D555B5" w14:textId="77777777" w:rsidR="00342C96" w:rsidRPr="00342C96" w:rsidRDefault="00342C96" w:rsidP="00342C96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5FA5553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1E556DB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641CF9F" w14:textId="4661DF21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04707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Maksymalnie </w:t>
      </w:r>
      <w:r w:rsidRPr="00104707">
        <w:rPr>
          <w:rFonts w:ascii="Times New Roman" w:eastAsia="Calibri" w:hAnsi="Times New Roman" w:cs="Times New Roman"/>
          <w:b/>
          <w:kern w:val="0"/>
          <w14:ligatures w14:val="none"/>
        </w:rPr>
        <w:t>1100 EUR</w:t>
      </w:r>
      <w:r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na</w:t>
      </w:r>
      <w:r w:rsidR="008E264B">
        <w:rPr>
          <w:rFonts w:ascii="Times New Roman" w:eastAsia="Calibri" w:hAnsi="Times New Roman" w:cs="Times New Roman"/>
          <w:kern w:val="0"/>
          <w14:ligatures w14:val="none"/>
        </w:rPr>
        <w:t xml:space="preserve"> osobę</w:t>
      </w:r>
      <w:r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(z uwzględnieniem </w:t>
      </w:r>
      <w:r w:rsidR="008E264B">
        <w:rPr>
          <w:rFonts w:ascii="Times New Roman" w:eastAsia="Calibri" w:hAnsi="Times New Roman" w:cs="Times New Roman"/>
          <w:kern w:val="0"/>
          <w14:ligatures w14:val="none"/>
        </w:rPr>
        <w:t xml:space="preserve">uczestników, </w:t>
      </w:r>
      <w:r w:rsidRPr="00104707">
        <w:rPr>
          <w:rFonts w:ascii="Times New Roman" w:eastAsia="Calibri" w:hAnsi="Times New Roman" w:cs="Times New Roman"/>
          <w:kern w:val="0"/>
          <w14:ligatures w14:val="none"/>
        </w:rPr>
        <w:t>osób prowadzących szkolenia, osób wspomagających proces kształcenia, liderów grupy). W zależności od okresu pobytu na uczestnika, wliczając w to osoby towarzyszące, osoby prowadzące szkolenia i osoby wspomagające proces kształcenia (w razie konieczności), w tym również jeden dzień podróży przed rozpoczęciem działania i jeden dzień podróży po zakończeniu działania, oraz do czterech dodatkowych dni dla uczestników otrzymujących dotację z tytułu podróży z wykorzystaniem ekologicznych środków transportu.</w:t>
      </w:r>
    </w:p>
    <w:p w14:paraId="55C6EC37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B60D1B9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04707">
        <w:rPr>
          <w:rFonts w:ascii="Times New Roman" w:eastAsia="Calibri" w:hAnsi="Times New Roman" w:cs="Times New Roman"/>
          <w:b/>
          <w:kern w:val="0"/>
          <w14:ligatures w14:val="none"/>
        </w:rPr>
        <w:t>3. Wsparcie organizacyjne</w:t>
      </w:r>
    </w:p>
    <w:p w14:paraId="5C5A7495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53751D2" w14:textId="5093932D" w:rsidR="00104707" w:rsidRPr="00104707" w:rsidRDefault="00342C96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125</w:t>
      </w:r>
      <w:r w:rsidR="00104707" w:rsidRPr="00104707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na uczestnika działań w zakresie doskonalenia zawodowego, nie </w:t>
      </w:r>
      <w:r>
        <w:rPr>
          <w:rFonts w:ascii="Times New Roman" w:eastAsia="Calibri" w:hAnsi="Times New Roman" w:cs="Times New Roman"/>
          <w:kern w:val="0"/>
          <w14:ligatures w14:val="none"/>
        </w:rPr>
        <w:t>wliczając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osób towarzyszących, osób prowadzących szkolenia </w:t>
      </w:r>
      <w:r>
        <w:rPr>
          <w:rFonts w:ascii="Times New Roman" w:eastAsia="Calibri" w:hAnsi="Times New Roman" w:cs="Times New Roman"/>
          <w:kern w:val="0"/>
          <w14:ligatures w14:val="none"/>
        </w:rPr>
        <w:t>ani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> osób wspomagających proces kształcenia.</w:t>
      </w:r>
    </w:p>
    <w:p w14:paraId="064AA907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432CCF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104707">
        <w:rPr>
          <w:rFonts w:ascii="Times New Roman" w:eastAsia="Calibri" w:hAnsi="Times New Roman" w:cs="Times New Roman"/>
          <w:b/>
          <w:kern w:val="0"/>
          <w14:ligatures w14:val="none"/>
        </w:rPr>
        <w:t>4. Wsparcie włączenia dla organizacji</w:t>
      </w:r>
    </w:p>
    <w:p w14:paraId="211AF50A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2375395" w14:textId="68D5640B" w:rsidR="00104707" w:rsidRPr="00104707" w:rsidRDefault="00342C96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125</w:t>
      </w:r>
      <w:r w:rsidR="00104707" w:rsidRPr="00104707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na uczestnika w przypadku kosztów związanych z organizacją działań w zakresie mobilności dla uczestników o mniejszych szansach, nie </w:t>
      </w:r>
      <w:r>
        <w:rPr>
          <w:rFonts w:ascii="Times New Roman" w:eastAsia="Calibri" w:hAnsi="Times New Roman" w:cs="Times New Roman"/>
          <w:kern w:val="0"/>
          <w14:ligatures w14:val="none"/>
        </w:rPr>
        <w:t>wliczając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osób towarzyszących, osób prowadzących szkolenia </w:t>
      </w:r>
      <w:r>
        <w:rPr>
          <w:rFonts w:ascii="Times New Roman" w:eastAsia="Calibri" w:hAnsi="Times New Roman" w:cs="Times New Roman"/>
          <w:kern w:val="0"/>
          <w14:ligatures w14:val="none"/>
        </w:rPr>
        <w:t>ani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> osób wspomagających proces kształcenia.</w:t>
      </w:r>
    </w:p>
    <w:p w14:paraId="3F8E3187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0EDCF0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104707">
        <w:rPr>
          <w:rFonts w:ascii="Times New Roman" w:eastAsia="Calibri" w:hAnsi="Times New Roman" w:cs="Times New Roman"/>
          <w:b/>
          <w:kern w:val="0"/>
          <w14:ligatures w14:val="none"/>
        </w:rPr>
        <w:t>5. Wsparcie w zakresie wizyty przygotowawczej</w:t>
      </w:r>
    </w:p>
    <w:p w14:paraId="4E3EB54F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6BE7489" w14:textId="0E5F76C3" w:rsidR="00104707" w:rsidRPr="00104707" w:rsidRDefault="00342C96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680</w:t>
      </w:r>
      <w:r w:rsidR="00104707" w:rsidRPr="00104707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na uczestnika na wizytę przygotowawczą, nie </w:t>
      </w:r>
      <w:r>
        <w:rPr>
          <w:rFonts w:ascii="Times New Roman" w:eastAsia="Calibri" w:hAnsi="Times New Roman" w:cs="Times New Roman"/>
          <w:kern w:val="0"/>
          <w14:ligatures w14:val="none"/>
        </w:rPr>
        <w:t>wliczając</w:t>
      </w:r>
      <w:r w:rsidR="00104707" w:rsidRPr="00104707">
        <w:rPr>
          <w:rFonts w:ascii="Times New Roman" w:eastAsia="Calibri" w:hAnsi="Times New Roman" w:cs="Times New Roman"/>
          <w:kern w:val="0"/>
          <w14:ligatures w14:val="none"/>
        </w:rPr>
        <w:t xml:space="preserve"> uczestników z organizacji przyjmującej. Dofinansowanie na dane działanie może otrzymać maksymalnie dwóch uczestników na organizację uczestniczącą. Dodatkowo dofinansowanie na wizytę przygotowawczą może otrzymać jedna osoba wspomagająca proces kształcenia. </w:t>
      </w:r>
    </w:p>
    <w:p w14:paraId="638987A1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E251FDA" w14:textId="77777777" w:rsidR="00104707" w:rsidRPr="00104707" w:rsidRDefault="00104707" w:rsidP="00104707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6EC57D" w14:textId="77777777" w:rsidR="00A05DE9" w:rsidRDefault="00A05DE9"/>
    <w:sectPr w:rsidR="00A05DE9" w:rsidSect="00104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D3EF" w14:textId="77777777" w:rsidR="00310534" w:rsidRDefault="00310534">
      <w:pPr>
        <w:spacing w:after="0" w:line="240" w:lineRule="auto"/>
      </w:pPr>
      <w:r>
        <w:separator/>
      </w:r>
    </w:p>
  </w:endnote>
  <w:endnote w:type="continuationSeparator" w:id="0">
    <w:p w14:paraId="176C0B34" w14:textId="77777777" w:rsidR="00310534" w:rsidRDefault="0031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2427" w14:textId="77777777" w:rsidR="00342C96" w:rsidRDefault="00342C9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2655" w14:textId="77777777" w:rsidR="00342C96" w:rsidRPr="00104707" w:rsidRDefault="00342C96" w:rsidP="00BF7454">
    <w:pPr>
      <w:pStyle w:val="Stopka1"/>
      <w:rPr>
        <w:rFonts w:ascii="Calibri Light" w:eastAsia="Times New Roman" w:hAnsi="Calibri Light" w:cs="Times New Roman"/>
        <w:sz w:val="20"/>
        <w:szCs w:val="20"/>
      </w:rPr>
    </w:pPr>
    <w:r w:rsidRPr="00104707">
      <w:rPr>
        <w:noProof/>
        <w:color w:val="4472C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4D865" wp14:editId="74CE7E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C8D761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<w10:wrap anchorx="page" anchory="page"/>
            </v:rect>
          </w:pict>
        </mc:Fallback>
      </mc:AlternateContent>
    </w:r>
    <w:r w:rsidRPr="00104707">
      <w:rPr>
        <w:color w:val="4472C4"/>
      </w:rPr>
      <w:t xml:space="preserve"> </w:t>
    </w:r>
    <w:r w:rsidRPr="00104707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104707">
      <w:rPr>
        <w:rFonts w:eastAsia="Times New Roman"/>
        <w:sz w:val="20"/>
        <w:szCs w:val="20"/>
      </w:rPr>
      <w:fldChar w:fldCharType="begin"/>
    </w:r>
    <w:r w:rsidRPr="00BF7454">
      <w:rPr>
        <w:sz w:val="20"/>
        <w:szCs w:val="20"/>
      </w:rPr>
      <w:instrText>PAGE    \* MERGEFORMAT</w:instrText>
    </w:r>
    <w:r w:rsidRPr="00104707">
      <w:rPr>
        <w:rFonts w:eastAsia="Times New Roman"/>
        <w:sz w:val="20"/>
        <w:szCs w:val="20"/>
      </w:rPr>
      <w:fldChar w:fldCharType="separate"/>
    </w:r>
    <w:r w:rsidRPr="00104707">
      <w:rPr>
        <w:rFonts w:ascii="Calibri Light" w:eastAsia="Times New Roman" w:hAnsi="Calibri Light" w:cs="Times New Roman"/>
        <w:sz w:val="20"/>
        <w:szCs w:val="20"/>
      </w:rPr>
      <w:t>2</w:t>
    </w:r>
    <w:r w:rsidRPr="00104707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20BF49BF" w14:textId="77777777" w:rsidR="00342C96" w:rsidRDefault="00342C96" w:rsidP="00BF7454">
    <w:pPr>
      <w:pStyle w:val="Stopka1"/>
      <w:rPr>
        <w:sz w:val="20"/>
        <w:szCs w:val="20"/>
      </w:rPr>
    </w:pPr>
    <w:r>
      <w:rPr>
        <w:sz w:val="20"/>
        <w:szCs w:val="20"/>
      </w:rPr>
      <w:t xml:space="preserve">Młodzież (YOU) – Erasmus+ Mobilność edukacyjna (KA1) </w:t>
    </w:r>
  </w:p>
  <w:p w14:paraId="657CE712" w14:textId="77777777" w:rsidR="00342C96" w:rsidRDefault="00342C96" w:rsidP="00BF7454">
    <w:pPr>
      <w:pStyle w:val="Stopka1"/>
    </w:pPr>
    <w:r>
      <w:rPr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3D09" w14:textId="77777777" w:rsidR="00342C96" w:rsidRDefault="00342C9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882C" w14:textId="77777777" w:rsidR="00310534" w:rsidRDefault="00310534">
      <w:pPr>
        <w:spacing w:after="0" w:line="240" w:lineRule="auto"/>
      </w:pPr>
      <w:r>
        <w:separator/>
      </w:r>
    </w:p>
  </w:footnote>
  <w:footnote w:type="continuationSeparator" w:id="0">
    <w:p w14:paraId="08E5DBA1" w14:textId="77777777" w:rsidR="00310534" w:rsidRDefault="0031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CB68" w14:textId="77777777" w:rsidR="00342C96" w:rsidRDefault="00342C96">
    <w:pPr>
      <w:pStyle w:val="Nagwek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DE06" w14:textId="77777777" w:rsidR="00342C96" w:rsidRDefault="00342C96">
    <w:pPr>
      <w:pStyle w:val="Nagwek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2A34" w14:textId="77777777" w:rsidR="00342C96" w:rsidRDefault="00342C96">
    <w:pPr>
      <w:pStyle w:val="Nagwek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07"/>
    <w:rsid w:val="000A4363"/>
    <w:rsid w:val="00104707"/>
    <w:rsid w:val="00276D0D"/>
    <w:rsid w:val="00287804"/>
    <w:rsid w:val="00310534"/>
    <w:rsid w:val="00342C96"/>
    <w:rsid w:val="005E1BB7"/>
    <w:rsid w:val="006F6A2E"/>
    <w:rsid w:val="007917D7"/>
    <w:rsid w:val="00877C82"/>
    <w:rsid w:val="008B6632"/>
    <w:rsid w:val="008E264B"/>
    <w:rsid w:val="00A05DE9"/>
    <w:rsid w:val="00AC01EA"/>
    <w:rsid w:val="00C55880"/>
    <w:rsid w:val="00F258C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6CA0"/>
  <w15:chartTrackingRefBased/>
  <w15:docId w15:val="{82EED661-BE35-46C6-B5FB-970CADB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7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7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7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7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707"/>
    <w:rPr>
      <w:b/>
      <w:bCs/>
      <w:smallCaps/>
      <w:color w:val="0F4761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10470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10"/>
    <w:uiPriority w:val="99"/>
    <w:rsid w:val="00104707"/>
    <w:rPr>
      <w:kern w:val="0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0470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104707"/>
    <w:rPr>
      <w:kern w:val="0"/>
      <w14:ligatures w14:val="none"/>
    </w:rPr>
  </w:style>
  <w:style w:type="paragraph" w:styleId="Nagwek">
    <w:name w:val="header"/>
    <w:basedOn w:val="Normalny"/>
    <w:link w:val="NagwekZnak1"/>
    <w:uiPriority w:val="99"/>
    <w:semiHidden/>
    <w:unhideWhenUsed/>
    <w:rsid w:val="0010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04707"/>
  </w:style>
  <w:style w:type="paragraph" w:styleId="Stopka">
    <w:name w:val="footer"/>
    <w:basedOn w:val="Normalny"/>
    <w:link w:val="StopkaZnak1"/>
    <w:uiPriority w:val="99"/>
    <w:semiHidden/>
    <w:unhideWhenUsed/>
    <w:rsid w:val="0010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4707"/>
  </w:style>
  <w:style w:type="paragraph" w:styleId="Poprawka">
    <w:name w:val="Revision"/>
    <w:hidden/>
    <w:uiPriority w:val="99"/>
    <w:semiHidden/>
    <w:rsid w:val="00342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2497</Characters>
  <Application>Microsoft Office Word</Application>
  <DocSecurity>0</DocSecurity>
  <Lines>20</Lines>
  <Paragraphs>5</Paragraphs>
  <ScaleCrop>false</ScaleCrop>
  <Company>Fundacja Rozwoju Systemu Edukacji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2025-04-30T12:27:00Z</dcterms:created>
  <dcterms:modified xsi:type="dcterms:W3CDTF">2025-05-12T21:59:00Z</dcterms:modified>
</cp:coreProperties>
</file>