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1D519B54" w:rsidR="00902D5D" w:rsidRDefault="00535031" w:rsidP="00367921">
      <w:pPr>
        <w:pStyle w:val="Annex"/>
        <w:spacing w:before="0" w:after="0"/>
        <w:jc w:val="center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ZAŁĄCZNIK 5 – POSTANOWIENIA SZCZEGÓŁOWE</w:t>
      </w:r>
    </w:p>
    <w:p w14:paraId="109CE2C4" w14:textId="0EB11BCD" w:rsidR="00D47F1B" w:rsidRDefault="00D47F1B" w:rsidP="00367921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154)</w:t>
      </w:r>
    </w:p>
    <w:p w14:paraId="550985FF" w14:textId="77777777" w:rsidR="00367921" w:rsidRDefault="00367921" w:rsidP="00367921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78C8357F" w14:textId="77777777" w:rsidR="00367921" w:rsidRDefault="00367921" w:rsidP="00367921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AD29BBC" w14:textId="77777777" w:rsidR="00367921" w:rsidRDefault="00367921" w:rsidP="00367921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16874DE7" w14:textId="77777777" w:rsidR="00367921" w:rsidRPr="00367921" w:rsidRDefault="00367921" w:rsidP="00367921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2C58C9A" w14:textId="79749B41" w:rsidR="009F4418" w:rsidRPr="00367921" w:rsidRDefault="00656EED" w:rsidP="00367921">
      <w:pPr>
        <w:pStyle w:val="Nagwek1"/>
        <w:tabs>
          <w:tab w:val="left" w:pos="567"/>
        </w:tabs>
        <w:spacing w:before="0" w:after="0"/>
        <w:rPr>
          <w:rFonts w:ascii="Times New Roman" w:eastAsia="Calibri" w:hAnsi="Times New Roman" w:cs="Times New Roman"/>
          <w:b w:val="0"/>
          <w:szCs w:val="24"/>
          <w:shd w:val="clear" w:color="auto" w:fill="00FFFF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367921">
        <w:rPr>
          <w:rFonts w:ascii="Times New Roman" w:hAnsi="Times New Roman" w:cs="Times New Roman"/>
          <w:bCs w:val="0"/>
          <w:szCs w:val="24"/>
        </w:rPr>
        <w:t xml:space="preserve">1. </w:t>
      </w:r>
      <w:r w:rsidR="00367921">
        <w:rPr>
          <w:rFonts w:ascii="Times New Roman" w:hAnsi="Times New Roman" w:cs="Times New Roman"/>
          <w:bCs w:val="0"/>
          <w:szCs w:val="24"/>
        </w:rPr>
        <w:t xml:space="preserve">     </w:t>
      </w:r>
      <w:r w:rsidRPr="00367921">
        <w:rPr>
          <w:rFonts w:ascii="Times New Roman" w:hAnsi="Times New Roman" w:cs="Times New Roman"/>
          <w:bCs w:val="0"/>
          <w:szCs w:val="24"/>
        </w:rPr>
        <w:t>Maksymalna kwota dotacji</w:t>
      </w:r>
      <w:r w:rsidRPr="00367921">
        <w:rPr>
          <w:rFonts w:ascii="Times New Roman" w:hAnsi="Times New Roman" w:cs="Times New Roman"/>
          <w:szCs w:val="24"/>
        </w:rPr>
        <w:t xml:space="preserve"> </w:t>
      </w:r>
      <w:bookmarkStart w:id="5" w:name="_Hlk167200280"/>
      <w:r w:rsidRPr="00367921">
        <w:rPr>
          <w:rFonts w:ascii="Times New Roman" w:hAnsi="Times New Roman" w:cs="Times New Roman"/>
          <w:szCs w:val="24"/>
        </w:rPr>
        <w:t xml:space="preserve">(— </w:t>
      </w:r>
      <w:bookmarkEnd w:id="5"/>
      <w:r w:rsidRPr="00367921">
        <w:rPr>
          <w:rFonts w:ascii="Times New Roman" w:hAnsi="Times New Roman" w:cs="Times New Roman"/>
          <w:szCs w:val="24"/>
        </w:rPr>
        <w:t>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Pr="00367921">
        <w:rPr>
          <w:rFonts w:ascii="Times New Roman" w:hAnsi="Times New Roman" w:cs="Times New Roman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504EF75E" w14:textId="77777777" w:rsidR="00367921" w:rsidRDefault="00367921" w:rsidP="00367921">
      <w:pPr>
        <w:widowControl w:val="0"/>
        <w:suppressAutoHyphens/>
        <w:spacing w:after="0"/>
        <w:rPr>
          <w:rFonts w:cs="Times New Roman"/>
          <w:szCs w:val="24"/>
        </w:rPr>
      </w:pPr>
    </w:p>
    <w:p w14:paraId="621B185F" w14:textId="3B8DF724" w:rsidR="001D18BE" w:rsidRPr="00367921" w:rsidRDefault="00A87E7C" w:rsidP="00367921">
      <w:pPr>
        <w:widowControl w:val="0"/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Nie dotyczy.</w:t>
      </w:r>
    </w:p>
    <w:p w14:paraId="34FC3A20" w14:textId="77777777" w:rsidR="001D18BE" w:rsidRDefault="001D18BE" w:rsidP="00367921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2A35E27D" w14:textId="77777777" w:rsidR="00367921" w:rsidRPr="00367921" w:rsidRDefault="00367921" w:rsidP="00367921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5AFF701B" w14:textId="49DEE266" w:rsidR="00507BDD" w:rsidRPr="00367921" w:rsidRDefault="00656EED" w:rsidP="00367921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6" w:name="_Toc117591129"/>
      <w:bookmarkStart w:id="7" w:name="_Toc117674740"/>
      <w:bookmarkStart w:id="8" w:name="_Toc117696671"/>
      <w:bookmarkStart w:id="9" w:name="_Toc122444423"/>
      <w:bookmarkStart w:id="10" w:name="_Toc158104973"/>
      <w:r w:rsidRPr="00367921">
        <w:rPr>
          <w:rFonts w:ascii="Times New Roman" w:hAnsi="Times New Roman" w:cs="Times New Roman"/>
          <w:szCs w:val="24"/>
        </w:rPr>
        <w:t xml:space="preserve">2. </w:t>
      </w:r>
      <w:r w:rsidR="00367921">
        <w:rPr>
          <w:rFonts w:ascii="Times New Roman" w:hAnsi="Times New Roman" w:cs="Times New Roman"/>
          <w:szCs w:val="24"/>
        </w:rPr>
        <w:t xml:space="preserve">     </w:t>
      </w:r>
      <w:r w:rsidRPr="00367921">
        <w:rPr>
          <w:rFonts w:ascii="Times New Roman" w:hAnsi="Times New Roman" w:cs="Times New Roman"/>
          <w:szCs w:val="24"/>
        </w:rPr>
        <w:t xml:space="preserve">Elastyczność budżetowa </w:t>
      </w:r>
      <w:r w:rsidR="00367921" w:rsidRPr="00367921">
        <w:rPr>
          <w:rFonts w:ascii="Times New Roman" w:hAnsi="Times New Roman" w:cs="Times New Roman"/>
          <w:szCs w:val="24"/>
        </w:rPr>
        <w:t xml:space="preserve">(— </w:t>
      </w:r>
      <w:r w:rsidRPr="00367921">
        <w:rPr>
          <w:rFonts w:ascii="Times New Roman" w:hAnsi="Times New Roman" w:cs="Times New Roman"/>
          <w:szCs w:val="24"/>
        </w:rPr>
        <w:t xml:space="preserve"> 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Pr="00367921">
        <w:rPr>
          <w:rFonts w:ascii="Times New Roman" w:hAnsi="Times New Roman" w:cs="Times New Roman"/>
          <w:szCs w:val="24"/>
        </w:rPr>
        <w:t>5.5)</w:t>
      </w:r>
      <w:bookmarkEnd w:id="6"/>
      <w:bookmarkEnd w:id="7"/>
      <w:bookmarkEnd w:id="8"/>
      <w:bookmarkEnd w:id="9"/>
      <w:bookmarkEnd w:id="10"/>
    </w:p>
    <w:p w14:paraId="02ACC5C1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065CAAE4" w14:textId="776F44BC" w:rsidR="008217F6" w:rsidRDefault="006D65F3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W odniesieniu do art.</w:t>
      </w:r>
      <w:r w:rsidR="00935652" w:rsidRPr="00367921">
        <w:rPr>
          <w:rFonts w:cs="Times New Roman"/>
          <w:szCs w:val="24"/>
        </w:rPr>
        <w:t> </w:t>
      </w:r>
      <w:r w:rsidRPr="00367921">
        <w:rPr>
          <w:rFonts w:cs="Times New Roman"/>
          <w:szCs w:val="24"/>
        </w:rPr>
        <w:t>5.5 zmiany wymagają przesunięcia budżetowe</w:t>
      </w:r>
      <w:r w:rsidR="00935652" w:rsidRPr="00367921">
        <w:rPr>
          <w:rFonts w:cs="Times New Roman"/>
          <w:szCs w:val="24"/>
        </w:rPr>
        <w:t xml:space="preserve"> z kat</w:t>
      </w:r>
      <w:r w:rsidRPr="00367921">
        <w:rPr>
          <w:rFonts w:cs="Times New Roman"/>
          <w:szCs w:val="24"/>
        </w:rPr>
        <w:t xml:space="preserve">egorii budżetu </w:t>
      </w:r>
      <w:r w:rsidRPr="00367921">
        <w:rPr>
          <w:rFonts w:cs="Times New Roman"/>
          <w:b/>
          <w:i/>
          <w:szCs w:val="24"/>
        </w:rPr>
        <w:t>Koszty nadzwyczajne</w:t>
      </w:r>
      <w:r w:rsidR="00935652" w:rsidRPr="00367921">
        <w:rPr>
          <w:rFonts w:cs="Times New Roman"/>
          <w:szCs w:val="24"/>
        </w:rPr>
        <w:t xml:space="preserve"> i </w:t>
      </w:r>
      <w:r w:rsidR="00935652" w:rsidRPr="00367921">
        <w:rPr>
          <w:rFonts w:cs="Times New Roman"/>
          <w:b/>
          <w:i/>
          <w:szCs w:val="24"/>
        </w:rPr>
        <w:t>Wsp</w:t>
      </w:r>
      <w:r w:rsidRPr="00367921">
        <w:rPr>
          <w:rFonts w:cs="Times New Roman"/>
          <w:b/>
          <w:i/>
          <w:szCs w:val="24"/>
        </w:rPr>
        <w:t>arcie włączenia dla uczestników</w:t>
      </w:r>
      <w:r w:rsidRPr="00367921">
        <w:rPr>
          <w:rFonts w:cs="Times New Roman"/>
          <w:szCs w:val="24"/>
        </w:rPr>
        <w:t xml:space="preserve"> przekraczające 15 % łącznych środków</w:t>
      </w:r>
      <w:r w:rsidR="00935652" w:rsidRPr="00367921">
        <w:rPr>
          <w:rFonts w:cs="Times New Roman"/>
          <w:szCs w:val="24"/>
        </w:rPr>
        <w:t xml:space="preserve"> w każ</w:t>
      </w:r>
      <w:r w:rsidRPr="00367921">
        <w:rPr>
          <w:rFonts w:cs="Times New Roman"/>
          <w:szCs w:val="24"/>
        </w:rPr>
        <w:t>dej</w:t>
      </w:r>
      <w:r w:rsidR="00935652" w:rsidRPr="00367921">
        <w:rPr>
          <w:rFonts w:cs="Times New Roman"/>
          <w:szCs w:val="24"/>
        </w:rPr>
        <w:t xml:space="preserve"> z tyc</w:t>
      </w:r>
      <w:r w:rsidRPr="00367921">
        <w:rPr>
          <w:rFonts w:cs="Times New Roman"/>
          <w:szCs w:val="24"/>
        </w:rPr>
        <w:t>h kategorii.</w:t>
      </w:r>
    </w:p>
    <w:p w14:paraId="13AE9A5E" w14:textId="77777777" w:rsidR="00367921" w:rsidRPr="00367921" w:rsidRDefault="00367921" w:rsidP="00367921">
      <w:pPr>
        <w:spacing w:after="0"/>
        <w:rPr>
          <w:rFonts w:cs="Times New Roman"/>
          <w:szCs w:val="24"/>
        </w:rPr>
      </w:pPr>
    </w:p>
    <w:p w14:paraId="7191A9A2" w14:textId="235386C8" w:rsidR="000F53F3" w:rsidRPr="00367921" w:rsidRDefault="001B2B88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W odniesieniu do art.</w:t>
      </w:r>
      <w:r w:rsidR="00935652" w:rsidRPr="00367921">
        <w:rPr>
          <w:rFonts w:cs="Times New Roman"/>
          <w:szCs w:val="24"/>
        </w:rPr>
        <w:t> </w:t>
      </w:r>
      <w:r w:rsidRPr="00367921">
        <w:rPr>
          <w:rFonts w:cs="Times New Roman"/>
          <w:szCs w:val="24"/>
        </w:rPr>
        <w:t>5.5 zmiany wymagają przesunięcia budżetowe</w:t>
      </w:r>
      <w:r w:rsidR="00935652" w:rsidRPr="00367921">
        <w:rPr>
          <w:rFonts w:cs="Times New Roman"/>
          <w:szCs w:val="24"/>
        </w:rPr>
        <w:t xml:space="preserve"> z kat</w:t>
      </w:r>
      <w:r w:rsidRPr="00367921">
        <w:rPr>
          <w:rFonts w:cs="Times New Roman"/>
          <w:szCs w:val="24"/>
        </w:rPr>
        <w:t xml:space="preserve">egorii budżetu </w:t>
      </w:r>
      <w:r w:rsidRPr="00367921">
        <w:rPr>
          <w:rFonts w:cs="Times New Roman"/>
          <w:b/>
          <w:i/>
          <w:szCs w:val="24"/>
        </w:rPr>
        <w:t>Wsparcie wydarzeń związanych</w:t>
      </w:r>
      <w:r w:rsidR="00935652" w:rsidRPr="00367921">
        <w:rPr>
          <w:rFonts w:cs="Times New Roman"/>
          <w:b/>
          <w:i/>
          <w:szCs w:val="24"/>
        </w:rPr>
        <w:t xml:space="preserve"> z ucz</w:t>
      </w:r>
      <w:r w:rsidRPr="00367921">
        <w:rPr>
          <w:rFonts w:cs="Times New Roman"/>
          <w:b/>
          <w:i/>
          <w:szCs w:val="24"/>
        </w:rPr>
        <w:t>estnictwem młodzieży</w:t>
      </w:r>
      <w:r w:rsidRPr="00367921">
        <w:rPr>
          <w:rFonts w:cs="Times New Roman"/>
          <w:szCs w:val="24"/>
        </w:rPr>
        <w:t xml:space="preserve">, </w:t>
      </w:r>
      <w:r w:rsidR="00A36726">
        <w:rPr>
          <w:rFonts w:cs="Times New Roman"/>
          <w:b/>
          <w:i/>
          <w:szCs w:val="24"/>
        </w:rPr>
        <w:t>Dofinansowanie kosztów</w:t>
      </w:r>
      <w:r w:rsidRPr="00367921">
        <w:rPr>
          <w:rFonts w:cs="Times New Roman"/>
          <w:b/>
          <w:i/>
          <w:szCs w:val="24"/>
        </w:rPr>
        <w:t xml:space="preserve"> podróży</w:t>
      </w:r>
      <w:r w:rsidRPr="00367921">
        <w:rPr>
          <w:rFonts w:cs="Times New Roman"/>
          <w:szCs w:val="24"/>
        </w:rPr>
        <w:t xml:space="preserve"> lub </w:t>
      </w:r>
      <w:r w:rsidRPr="00367921">
        <w:rPr>
          <w:rFonts w:cs="Times New Roman"/>
          <w:b/>
          <w:i/>
          <w:szCs w:val="24"/>
        </w:rPr>
        <w:t>Wsparcie indywidualne</w:t>
      </w:r>
      <w:r w:rsidRPr="00367921">
        <w:rPr>
          <w:rFonts w:cs="Times New Roman"/>
          <w:szCs w:val="24"/>
        </w:rPr>
        <w:t xml:space="preserve"> przekraczające 30 % łącznych środków</w:t>
      </w:r>
      <w:r w:rsidR="00935652" w:rsidRPr="00367921">
        <w:rPr>
          <w:rFonts w:cs="Times New Roman"/>
          <w:szCs w:val="24"/>
        </w:rPr>
        <w:t xml:space="preserve"> w każ</w:t>
      </w:r>
      <w:r w:rsidRPr="00367921">
        <w:rPr>
          <w:rFonts w:cs="Times New Roman"/>
          <w:szCs w:val="24"/>
        </w:rPr>
        <w:t>dej</w:t>
      </w:r>
      <w:r w:rsidR="00935652" w:rsidRPr="00367921">
        <w:rPr>
          <w:rFonts w:cs="Times New Roman"/>
          <w:szCs w:val="24"/>
        </w:rPr>
        <w:t xml:space="preserve"> z tyc</w:t>
      </w:r>
      <w:r w:rsidRPr="00367921">
        <w:rPr>
          <w:rFonts w:cs="Times New Roman"/>
          <w:szCs w:val="24"/>
        </w:rPr>
        <w:t>h kategorii.</w:t>
      </w:r>
    </w:p>
    <w:p w14:paraId="308FCE83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203673B6" w14:textId="2C64C2BE" w:rsidR="00507BDD" w:rsidRPr="00367921" w:rsidRDefault="001B2B88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W odniesieniu do art.</w:t>
      </w:r>
      <w:r w:rsidR="00935652" w:rsidRPr="00367921">
        <w:rPr>
          <w:rFonts w:cs="Times New Roman"/>
          <w:szCs w:val="24"/>
        </w:rPr>
        <w:t> </w:t>
      </w:r>
      <w:r w:rsidRPr="00367921">
        <w:rPr>
          <w:rFonts w:cs="Times New Roman"/>
          <w:szCs w:val="24"/>
        </w:rPr>
        <w:t xml:space="preserve">5.5 nie zezwala się na przesunięcia jakichkolwiek środków do kategorii budżetu </w:t>
      </w:r>
      <w:r w:rsidRPr="00367921">
        <w:rPr>
          <w:rFonts w:cs="Times New Roman"/>
          <w:b/>
          <w:i/>
          <w:szCs w:val="24"/>
        </w:rPr>
        <w:t>Koszty zarządzania projektem</w:t>
      </w:r>
      <w:r w:rsidRPr="00367921">
        <w:rPr>
          <w:rFonts w:cs="Times New Roman"/>
          <w:szCs w:val="24"/>
        </w:rPr>
        <w:t xml:space="preserve"> bez wnioskowania</w:t>
      </w:r>
      <w:r w:rsidR="00935652" w:rsidRPr="00367921">
        <w:rPr>
          <w:rFonts w:cs="Times New Roman"/>
          <w:szCs w:val="24"/>
        </w:rPr>
        <w:t xml:space="preserve"> o zmi</w:t>
      </w:r>
      <w:r w:rsidRPr="00367921">
        <w:rPr>
          <w:rFonts w:cs="Times New Roman"/>
          <w:szCs w:val="24"/>
        </w:rPr>
        <w:t>anę.</w:t>
      </w:r>
    </w:p>
    <w:p w14:paraId="46D5C3E1" w14:textId="77777777" w:rsidR="00A87E7C" w:rsidRDefault="00A87E7C" w:rsidP="0036792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1" w:name="_Toc117591130"/>
      <w:bookmarkStart w:id="12" w:name="_Toc117674741"/>
      <w:bookmarkStart w:id="13" w:name="_Toc117696672"/>
      <w:bookmarkStart w:id="14" w:name="_Toc122444424"/>
      <w:bookmarkStart w:id="15" w:name="_Toc158104974"/>
    </w:p>
    <w:p w14:paraId="44EBA8FD" w14:textId="77777777" w:rsidR="00367921" w:rsidRPr="00367921" w:rsidRDefault="00367921" w:rsidP="00367921"/>
    <w:p w14:paraId="1B732355" w14:textId="7B6C1DEA" w:rsidR="00A36726" w:rsidRPr="00A36726" w:rsidRDefault="00656EED" w:rsidP="00A36726">
      <w:pPr>
        <w:keepNext/>
        <w:keepLines/>
        <w:spacing w:before="200"/>
        <w:ind w:left="1797" w:hanging="1797"/>
        <w:outlineLvl w:val="0"/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</w:pPr>
      <w:r w:rsidRPr="00A36726">
        <w:rPr>
          <w:rFonts w:cs="Times New Roman"/>
          <w:b/>
          <w:bCs/>
          <w:szCs w:val="24"/>
        </w:rPr>
        <w:t>3.</w:t>
      </w:r>
      <w:r w:rsidRPr="00367921">
        <w:rPr>
          <w:rFonts w:cs="Times New Roman"/>
          <w:szCs w:val="24"/>
        </w:rPr>
        <w:t xml:space="preserve"> </w:t>
      </w:r>
      <w:r w:rsidR="00367921">
        <w:rPr>
          <w:rFonts w:cs="Times New Roman"/>
          <w:szCs w:val="24"/>
        </w:rPr>
        <w:t xml:space="preserve"> </w:t>
      </w:r>
      <w:r w:rsidR="00A36726" w:rsidRPr="00A36726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>PODWYKONAWCY (— art. 9.4</w:t>
      </w:r>
      <w:r w:rsidR="00A36726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>)</w:t>
      </w:r>
    </w:p>
    <w:p w14:paraId="2B1F2A21" w14:textId="7EA01689" w:rsidR="00A36726" w:rsidRPr="00A36726" w:rsidRDefault="00A36726" w:rsidP="00A36726">
      <w:pPr>
        <w:widowControl w:val="0"/>
        <w:suppressAutoHyphens/>
        <w:spacing w:line="273" w:lineRule="auto"/>
        <w:rPr>
          <w:rFonts w:eastAsia="Calibri" w:cs="Times New Roman"/>
        </w:rPr>
      </w:pPr>
      <w:r w:rsidRPr="00A36726">
        <w:rPr>
          <w:rFonts w:eastAsia="Calibri" w:cs="Arial"/>
        </w:rPr>
        <w:t xml:space="preserve">Beneficjent nie może zlecić podwykonawstwa podstawowych zadań związanych z projektem. </w:t>
      </w:r>
    </w:p>
    <w:p w14:paraId="659FFAF2" w14:textId="26768D9B" w:rsidR="00A36726" w:rsidRPr="00A36726" w:rsidRDefault="00A36726" w:rsidP="00A36726">
      <w:pPr>
        <w:widowControl w:val="0"/>
        <w:suppressAutoHyphens/>
        <w:spacing w:line="273" w:lineRule="auto"/>
        <w:rPr>
          <w:rFonts w:eastAsia="Calibri" w:cs="Arial"/>
          <w:i/>
          <w:color w:val="4AA55B"/>
          <w:szCs w:val="24"/>
        </w:rPr>
      </w:pPr>
      <w:r w:rsidRPr="00A36726">
        <w:rPr>
          <w:rFonts w:eastAsia="Calibri" w:cs="Arial"/>
        </w:rPr>
        <w:t>W przypadku niezgodności agencja narodowa może zażądać od beneficjenta, aby ten zaprzestał otrzymywania pomocy przy realizacji niektórych zadań i aby realizował je sam. Jeżeli zidentyfikowane problemy nie zostaną rozwiązane, agencja narodowa może obniżyć dotację na etapie sprawozdania końcowego (zob. art. 28) lub rozwiązać umowę o udzielenie dotacji (zob. art. 29).</w:t>
      </w:r>
    </w:p>
    <w:p w14:paraId="5FB3DA0B" w14:textId="456AF047" w:rsidR="00A36726" w:rsidRDefault="00A36726" w:rsidP="00367921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7B73C42B" w14:textId="02F0F237" w:rsidR="00F2365D" w:rsidRPr="00367921" w:rsidRDefault="00A36726" w:rsidP="00367921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656EED" w:rsidRPr="00367921">
        <w:rPr>
          <w:rFonts w:ascii="Times New Roman" w:hAnsi="Times New Roman" w:cs="Times New Roman"/>
          <w:szCs w:val="24"/>
        </w:rPr>
        <w:t xml:space="preserve">Odbiorcy wsparcia finansowego na rzecz osób trzecich </w:t>
      </w:r>
      <w:r w:rsidR="00367921">
        <w:rPr>
          <w:rFonts w:ascii="Times New Roman" w:hAnsi="Times New Roman" w:cs="Times New Roman"/>
          <w:szCs w:val="24"/>
        </w:rPr>
        <w:br/>
      </w:r>
      <w:r w:rsidR="00367921" w:rsidRPr="00367921">
        <w:rPr>
          <w:rFonts w:ascii="Times New Roman" w:hAnsi="Times New Roman" w:cs="Times New Roman"/>
          <w:szCs w:val="24"/>
        </w:rPr>
        <w:t xml:space="preserve">(— </w:t>
      </w:r>
      <w:r w:rsidR="00656EED" w:rsidRPr="00367921">
        <w:rPr>
          <w:rFonts w:ascii="Times New Roman" w:hAnsi="Times New Roman" w:cs="Times New Roman"/>
          <w:szCs w:val="24"/>
        </w:rPr>
        <w:t>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="00656EED" w:rsidRPr="00367921">
        <w:rPr>
          <w:rFonts w:ascii="Times New Roman" w:hAnsi="Times New Roman" w:cs="Times New Roman"/>
          <w:szCs w:val="24"/>
        </w:rPr>
        <w:t>9.4)</w:t>
      </w:r>
      <w:bookmarkEnd w:id="11"/>
      <w:bookmarkEnd w:id="12"/>
      <w:bookmarkEnd w:id="13"/>
      <w:bookmarkEnd w:id="14"/>
      <w:bookmarkEnd w:id="15"/>
    </w:p>
    <w:p w14:paraId="014CDF43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65F03C13" w14:textId="3B4FD937" w:rsidR="00252301" w:rsidRPr="00367921" w:rsidRDefault="0025230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367921">
        <w:rPr>
          <w:rFonts w:cs="Times New Roman"/>
          <w:szCs w:val="24"/>
        </w:rPr>
        <w:t xml:space="preserve"> w zał</w:t>
      </w:r>
      <w:r w:rsidRPr="00367921">
        <w:rPr>
          <w:rFonts w:cs="Times New Roman"/>
          <w:szCs w:val="24"/>
        </w:rPr>
        <w:t>ącznikach 1, 2</w:t>
      </w:r>
      <w:r w:rsidR="00935652" w:rsidRPr="00367921">
        <w:rPr>
          <w:rFonts w:cs="Times New Roman"/>
          <w:szCs w:val="24"/>
        </w:rPr>
        <w:t xml:space="preserve"> i 3</w:t>
      </w:r>
      <w:r w:rsidRPr="00367921">
        <w:rPr>
          <w:rFonts w:cs="Times New Roman"/>
          <w:szCs w:val="24"/>
        </w:rPr>
        <w:t>.</w:t>
      </w:r>
    </w:p>
    <w:p w14:paraId="78F6A98B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7089E76B" w14:textId="7D1DBD5E" w:rsidR="003E1FD4" w:rsidRPr="00367921" w:rsidRDefault="0025230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Beneficjent musi:</w:t>
      </w:r>
    </w:p>
    <w:p w14:paraId="2109F3B5" w14:textId="214BDDE6" w:rsidR="00D01201" w:rsidRPr="00367921" w:rsidRDefault="003B1FE1" w:rsidP="00367921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367921">
        <w:rPr>
          <w:szCs w:val="24"/>
        </w:rPr>
        <w:t xml:space="preserve">przekazać </w:t>
      </w:r>
      <w:r w:rsidR="00A36726">
        <w:rPr>
          <w:szCs w:val="24"/>
        </w:rPr>
        <w:t xml:space="preserve">dofinansowanie kosztów podróży, </w:t>
      </w:r>
      <w:r w:rsidRPr="00367921">
        <w:rPr>
          <w:szCs w:val="24"/>
        </w:rPr>
        <w:t xml:space="preserve">wsparcie indywidualne, </w:t>
      </w:r>
      <w:r w:rsidR="00A36726">
        <w:rPr>
          <w:szCs w:val="24"/>
        </w:rPr>
        <w:t xml:space="preserve">wsparcie na pokrycie kosztów </w:t>
      </w:r>
      <w:r w:rsidRPr="00367921">
        <w:rPr>
          <w:szCs w:val="24"/>
        </w:rPr>
        <w:t>wizyt przygotowawcz</w:t>
      </w:r>
      <w:r w:rsidR="00A36726">
        <w:rPr>
          <w:szCs w:val="24"/>
        </w:rPr>
        <w:t>ych</w:t>
      </w:r>
      <w:r w:rsidRPr="00367921">
        <w:rPr>
          <w:szCs w:val="24"/>
        </w:rPr>
        <w:t xml:space="preserve"> </w:t>
      </w:r>
      <w:r w:rsidR="00935652" w:rsidRPr="00367921">
        <w:rPr>
          <w:szCs w:val="24"/>
        </w:rPr>
        <w:t>w cał</w:t>
      </w:r>
      <w:r w:rsidRPr="00367921">
        <w:rPr>
          <w:szCs w:val="24"/>
        </w:rPr>
        <w:t>ości uczestnik</w:t>
      </w:r>
      <w:r w:rsidR="00FB303C" w:rsidRPr="00367921">
        <w:rPr>
          <w:szCs w:val="24"/>
        </w:rPr>
        <w:t>om</w:t>
      </w:r>
      <w:r w:rsidRPr="00367921">
        <w:rPr>
          <w:szCs w:val="24"/>
        </w:rPr>
        <w:t xml:space="preserve"> działań projektu, przy zastosowaniu stawek wkładów jednostkowych określonych</w:t>
      </w:r>
      <w:r w:rsidR="00935652" w:rsidRPr="00367921">
        <w:rPr>
          <w:szCs w:val="24"/>
        </w:rPr>
        <w:t xml:space="preserve"> w zał</w:t>
      </w:r>
      <w:r w:rsidRPr="00367921">
        <w:rPr>
          <w:szCs w:val="24"/>
        </w:rPr>
        <w:t>ączniku 3 albo</w:t>
      </w:r>
    </w:p>
    <w:p w14:paraId="64173FE2" w14:textId="5635DD96" w:rsidR="00252301" w:rsidRPr="00367921" w:rsidRDefault="00252301" w:rsidP="00367921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367921">
        <w:rPr>
          <w:szCs w:val="24"/>
        </w:rPr>
        <w:lastRenderedPageBreak/>
        <w:t>przekazać wsparcie na te same, wymienione powyżej, kategorie budżetu uczestnikom działań projektu</w:t>
      </w:r>
      <w:r w:rsidR="00935652" w:rsidRPr="00367921">
        <w:rPr>
          <w:szCs w:val="24"/>
        </w:rPr>
        <w:t xml:space="preserve"> w for</w:t>
      </w:r>
      <w:r w:rsidRPr="00367921">
        <w:rPr>
          <w:szCs w:val="24"/>
        </w:rPr>
        <w:t>mie zapewnienia im niezbędnych towarów</w:t>
      </w:r>
      <w:r w:rsidR="00935652" w:rsidRPr="00367921">
        <w:rPr>
          <w:szCs w:val="24"/>
        </w:rPr>
        <w:t xml:space="preserve"> i usł</w:t>
      </w:r>
      <w:r w:rsidRPr="00367921">
        <w:rPr>
          <w:szCs w:val="24"/>
        </w:rPr>
        <w:t>ug</w:t>
      </w:r>
      <w:r w:rsidR="00935652" w:rsidRPr="00367921">
        <w:rPr>
          <w:szCs w:val="24"/>
        </w:rPr>
        <w:t>. W tak</w:t>
      </w:r>
      <w:r w:rsidRPr="00367921">
        <w:rPr>
          <w:szCs w:val="24"/>
        </w:rPr>
        <w:t>im przypadku beneficjent musi dopilnować, aby te towary</w:t>
      </w:r>
      <w:r w:rsidR="00935652" w:rsidRPr="00367921">
        <w:rPr>
          <w:szCs w:val="24"/>
        </w:rPr>
        <w:t xml:space="preserve"> i usł</w:t>
      </w:r>
      <w:r w:rsidRPr="00367921">
        <w:rPr>
          <w:szCs w:val="24"/>
        </w:rPr>
        <w:t>ugi spełniały niezbędne normy jakości</w:t>
      </w:r>
      <w:r w:rsidR="00935652" w:rsidRPr="00367921">
        <w:rPr>
          <w:szCs w:val="24"/>
        </w:rPr>
        <w:t xml:space="preserve"> i bez</w:t>
      </w:r>
      <w:r w:rsidRPr="00367921">
        <w:rPr>
          <w:szCs w:val="24"/>
        </w:rPr>
        <w:t>pieczeństwa</w:t>
      </w:r>
      <w:r w:rsidR="00A87E7C" w:rsidRPr="00367921">
        <w:rPr>
          <w:szCs w:val="24"/>
        </w:rPr>
        <w:t>.</w:t>
      </w:r>
    </w:p>
    <w:p w14:paraId="28AC8A84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6AFA9B9D" w14:textId="29D3428B" w:rsidR="00252301" w:rsidRPr="00367921" w:rsidRDefault="0025230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Beneficjent może połączyć oba warianty określone</w:t>
      </w:r>
      <w:r w:rsidR="00935652" w:rsidRPr="00367921">
        <w:rPr>
          <w:rFonts w:cs="Times New Roman"/>
          <w:szCs w:val="24"/>
        </w:rPr>
        <w:t xml:space="preserve"> w pop</w:t>
      </w:r>
      <w:r w:rsidRPr="00367921">
        <w:rPr>
          <w:rFonts w:cs="Times New Roman"/>
          <w:szCs w:val="24"/>
        </w:rPr>
        <w:t>rzednim akapicie, pod warunkiem że zapewniają one sprawiedliwe</w:t>
      </w:r>
      <w:r w:rsidR="00935652" w:rsidRPr="00367921">
        <w:rPr>
          <w:rFonts w:cs="Times New Roman"/>
          <w:szCs w:val="24"/>
        </w:rPr>
        <w:t xml:space="preserve"> i rów</w:t>
      </w:r>
      <w:r w:rsidRPr="00367921">
        <w:rPr>
          <w:rFonts w:cs="Times New Roman"/>
          <w:szCs w:val="24"/>
        </w:rPr>
        <w:t>ne traktowanie wszystkich uczestników</w:t>
      </w:r>
      <w:r w:rsidR="00935652" w:rsidRPr="00367921">
        <w:rPr>
          <w:rFonts w:cs="Times New Roman"/>
          <w:szCs w:val="24"/>
        </w:rPr>
        <w:t>. W tak</w:t>
      </w:r>
      <w:r w:rsidRPr="00367921">
        <w:rPr>
          <w:rFonts w:cs="Times New Roman"/>
          <w:szCs w:val="24"/>
        </w:rPr>
        <w:t>im przypadku warunki mające zastosowanie do każdego wariantu należy zastosować do kategorii budżetu,</w:t>
      </w:r>
      <w:r w:rsidR="00935652" w:rsidRPr="00367921">
        <w:rPr>
          <w:rFonts w:cs="Times New Roman"/>
          <w:szCs w:val="24"/>
        </w:rPr>
        <w:t xml:space="preserve"> w odn</w:t>
      </w:r>
      <w:r w:rsidRPr="00367921">
        <w:rPr>
          <w:rFonts w:cs="Times New Roman"/>
          <w:szCs w:val="24"/>
        </w:rPr>
        <w:t>iesieniu do których odpowiedni wariant ma zastosowanie.</w:t>
      </w:r>
    </w:p>
    <w:p w14:paraId="125D95EB" w14:textId="77777777" w:rsidR="00367921" w:rsidRDefault="00367921" w:rsidP="0036792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6" w:name="_Toc158104975"/>
      <w:bookmarkStart w:id="17" w:name="_Toc117591131"/>
      <w:bookmarkStart w:id="18" w:name="_Toc117674742"/>
      <w:bookmarkStart w:id="19" w:name="_Toc117696673"/>
      <w:bookmarkStart w:id="20" w:name="_Toc122444425"/>
    </w:p>
    <w:p w14:paraId="44B861EB" w14:textId="77777777" w:rsidR="00367921" w:rsidRDefault="00367921" w:rsidP="0036792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0844DA31" w14:textId="768C978B" w:rsidR="00252301" w:rsidRPr="00367921" w:rsidRDefault="00A36726" w:rsidP="00367921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656EED"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    </w:t>
      </w:r>
      <w:r w:rsidR="00656EED" w:rsidRPr="00367921">
        <w:rPr>
          <w:rFonts w:ascii="Times New Roman" w:hAnsi="Times New Roman" w:cs="Times New Roman"/>
          <w:szCs w:val="24"/>
        </w:rPr>
        <w:t>Wsparcie włączenia dla uczestników</w:t>
      </w:r>
      <w:bookmarkEnd w:id="16"/>
      <w:r w:rsidR="00656EED" w:rsidRPr="00367921">
        <w:rPr>
          <w:rFonts w:ascii="Times New Roman" w:hAnsi="Times New Roman" w:cs="Times New Roman"/>
          <w:szCs w:val="24"/>
        </w:rPr>
        <w:t xml:space="preserve"> </w:t>
      </w:r>
      <w:bookmarkEnd w:id="17"/>
      <w:bookmarkEnd w:id="18"/>
      <w:bookmarkEnd w:id="19"/>
      <w:bookmarkEnd w:id="20"/>
    </w:p>
    <w:p w14:paraId="6E19234E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54733C00" w14:textId="35894497" w:rsidR="00252301" w:rsidRPr="00367921" w:rsidRDefault="00252301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W przypadku uczestników</w:t>
      </w:r>
      <w:r w:rsidR="00935652" w:rsidRPr="00367921">
        <w:rPr>
          <w:rFonts w:cs="Times New Roman"/>
          <w:szCs w:val="24"/>
        </w:rPr>
        <w:t xml:space="preserve"> o mni</w:t>
      </w:r>
      <w:r w:rsidRPr="00367921">
        <w:rPr>
          <w:rFonts w:cs="Times New Roman"/>
          <w:szCs w:val="24"/>
        </w:rPr>
        <w:t>ejszych szansach beneficjent zapewni,</w:t>
      </w:r>
      <w:r w:rsidR="00935652" w:rsidRPr="00367921">
        <w:rPr>
          <w:rFonts w:cs="Times New Roman"/>
          <w:szCs w:val="24"/>
        </w:rPr>
        <w:t xml:space="preserve"> w mia</w:t>
      </w:r>
      <w:r w:rsidRPr="00367921">
        <w:rPr>
          <w:rFonts w:cs="Times New Roman"/>
          <w:szCs w:val="24"/>
        </w:rPr>
        <w:t>rę możliwości, aby wsparcie włączenia  zaliczkowano</w:t>
      </w:r>
      <w:r w:rsidR="00935652" w:rsidRPr="00367921">
        <w:rPr>
          <w:rFonts w:cs="Times New Roman"/>
          <w:szCs w:val="24"/>
        </w:rPr>
        <w:t xml:space="preserve"> w cel</w:t>
      </w:r>
      <w:r w:rsidRPr="00367921">
        <w:rPr>
          <w:rFonts w:cs="Times New Roman"/>
          <w:szCs w:val="24"/>
        </w:rPr>
        <w:t>u ułatwienia uczestnictwa</w:t>
      </w:r>
      <w:r w:rsidR="00935652" w:rsidRPr="00367921">
        <w:rPr>
          <w:rFonts w:cs="Times New Roman"/>
          <w:szCs w:val="24"/>
        </w:rPr>
        <w:t xml:space="preserve"> w dzi</w:t>
      </w:r>
      <w:r w:rsidRPr="00367921">
        <w:rPr>
          <w:rFonts w:cs="Times New Roman"/>
          <w:szCs w:val="24"/>
        </w:rPr>
        <w:t>ałaniach.</w:t>
      </w:r>
    </w:p>
    <w:p w14:paraId="5617C42E" w14:textId="77777777" w:rsidR="00A87E7C" w:rsidRDefault="00A87E7C" w:rsidP="00367921">
      <w:pPr>
        <w:suppressAutoHyphens/>
        <w:spacing w:after="0"/>
        <w:rPr>
          <w:rFonts w:eastAsia="Calibri" w:cs="Times New Roman"/>
          <w:szCs w:val="24"/>
        </w:rPr>
      </w:pPr>
    </w:p>
    <w:p w14:paraId="3612C167" w14:textId="77777777" w:rsidR="00367921" w:rsidRPr="00367921" w:rsidRDefault="00367921" w:rsidP="00367921">
      <w:pPr>
        <w:suppressAutoHyphens/>
        <w:spacing w:after="0"/>
        <w:rPr>
          <w:rFonts w:eastAsia="Calibri" w:cs="Times New Roman"/>
          <w:szCs w:val="24"/>
        </w:rPr>
      </w:pPr>
    </w:p>
    <w:p w14:paraId="7D2E595D" w14:textId="767D0621" w:rsidR="000E1287" w:rsidRPr="00367921" w:rsidRDefault="00A36726" w:rsidP="00367921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21" w:name="_Toc117591132"/>
      <w:bookmarkStart w:id="22" w:name="_Toc117674743"/>
      <w:bookmarkStart w:id="23" w:name="_Toc117696674"/>
      <w:bookmarkStart w:id="24" w:name="_Toc122444426"/>
      <w:bookmarkStart w:id="25" w:name="_Toc158104976"/>
      <w:r>
        <w:rPr>
          <w:rFonts w:ascii="Times New Roman" w:hAnsi="Times New Roman" w:cs="Times New Roman"/>
          <w:szCs w:val="24"/>
        </w:rPr>
        <w:t>6</w:t>
      </w:r>
      <w:r w:rsidR="00656EED"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    </w:t>
      </w:r>
      <w:r w:rsidR="00656EED" w:rsidRPr="00367921">
        <w:rPr>
          <w:rFonts w:ascii="Times New Roman" w:hAnsi="Times New Roman" w:cs="Times New Roman"/>
          <w:szCs w:val="24"/>
        </w:rPr>
        <w:t>Ochrona danych (— 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="00656EED" w:rsidRPr="00367921">
        <w:rPr>
          <w:rFonts w:ascii="Times New Roman" w:hAnsi="Times New Roman" w:cs="Times New Roman"/>
          <w:szCs w:val="24"/>
        </w:rPr>
        <w:t>15)</w:t>
      </w:r>
      <w:bookmarkEnd w:id="21"/>
      <w:bookmarkEnd w:id="22"/>
      <w:bookmarkEnd w:id="23"/>
      <w:bookmarkEnd w:id="24"/>
      <w:bookmarkEnd w:id="25"/>
    </w:p>
    <w:p w14:paraId="2B338AF6" w14:textId="5AA2B3B8" w:rsidR="56B879F5" w:rsidRDefault="00A36726" w:rsidP="1FF840EE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bookmarkStart w:id="26" w:name="_Toc122444427"/>
      <w:bookmarkStart w:id="27" w:name="_Toc158104977"/>
      <w:bookmarkEnd w:id="26"/>
      <w:bookmarkEnd w:id="27"/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56B879F5" w:rsidRPr="1FF840EE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33A38F9D" w14:textId="6B6EB925" w:rsidR="1FF840EE" w:rsidRDefault="1FF840EE" w:rsidP="1FF840EE">
      <w:pPr>
        <w:spacing w:after="0"/>
        <w:rPr>
          <w:rFonts w:eastAsia="Times New Roman" w:cs="Times New Roman"/>
          <w:szCs w:val="24"/>
        </w:rPr>
      </w:pPr>
    </w:p>
    <w:p w14:paraId="24A6BAD1" w14:textId="135A9877" w:rsidR="56B879F5" w:rsidRDefault="56B879F5" w:rsidP="1FF840EE">
      <w:pPr>
        <w:spacing w:after="0"/>
        <w:rPr>
          <w:rFonts w:eastAsia="Times New Roman" w:cs="Times New Roman"/>
          <w:szCs w:val="24"/>
        </w:rPr>
      </w:pPr>
      <w:r w:rsidRPr="1FF840EE">
        <w:rPr>
          <w:rFonts w:eastAsia="Times New Roman" w:cs="Times New Roman"/>
          <w:szCs w:val="24"/>
        </w:rPr>
        <w:t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1460ADE9" w14:textId="06639C19" w:rsidR="1FF840EE" w:rsidRDefault="1FF840EE" w:rsidP="1FF840EE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22E4C643" w14:textId="2ED57D80" w:rsidR="56B879F5" w:rsidRDefault="00A36726" w:rsidP="1FF840EE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56B879F5" w:rsidRPr="1FF840EE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43E67C43" w14:textId="6917B2E5" w:rsidR="1FF840EE" w:rsidRDefault="1FF840EE" w:rsidP="1FF840EE">
      <w:pPr>
        <w:spacing w:after="0"/>
        <w:rPr>
          <w:rFonts w:eastAsia="Times New Roman" w:cs="Times New Roman"/>
          <w:szCs w:val="24"/>
        </w:rPr>
      </w:pPr>
    </w:p>
    <w:p w14:paraId="254EE730" w14:textId="6B1F19EE" w:rsidR="56B879F5" w:rsidRDefault="56B879F5" w:rsidP="1FF840EE">
      <w:pPr>
        <w:spacing w:after="0"/>
        <w:rPr>
          <w:rFonts w:eastAsia="Times New Roman" w:cs="Times New Roman"/>
          <w:szCs w:val="24"/>
        </w:rPr>
      </w:pPr>
      <w:r w:rsidRPr="1FF840EE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1FF840EE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1FF840EE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52244F6E" w14:textId="16FC031A" w:rsidR="1FF840EE" w:rsidRDefault="1FF840EE" w:rsidP="1FF840EE">
      <w:pPr>
        <w:spacing w:after="0"/>
        <w:rPr>
          <w:rFonts w:cs="Times New Roman"/>
        </w:rPr>
      </w:pPr>
    </w:p>
    <w:p w14:paraId="3FBF3E51" w14:textId="77777777" w:rsidR="00A87E7C" w:rsidRDefault="00A87E7C" w:rsidP="00367921">
      <w:pPr>
        <w:suppressAutoHyphens/>
        <w:spacing w:after="0"/>
        <w:rPr>
          <w:rFonts w:cs="Times New Roman"/>
          <w:szCs w:val="24"/>
        </w:rPr>
      </w:pPr>
    </w:p>
    <w:p w14:paraId="2AC4454B" w14:textId="77777777" w:rsidR="00367921" w:rsidRP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3D1371F4" w14:textId="4F3C614E" w:rsidR="00D922C3" w:rsidRPr="00367921" w:rsidRDefault="00A36726" w:rsidP="00367921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28" w:name="_Toc117591133"/>
      <w:bookmarkStart w:id="29" w:name="_Toc117674744"/>
      <w:bookmarkStart w:id="30" w:name="_Toc117696675"/>
      <w:bookmarkStart w:id="31" w:name="_Toc122444428"/>
      <w:bookmarkStart w:id="32" w:name="_Toc158104979"/>
      <w:r>
        <w:rPr>
          <w:rFonts w:ascii="Times New Roman" w:hAnsi="Times New Roman" w:cs="Times New Roman"/>
          <w:szCs w:val="24"/>
        </w:rPr>
        <w:t>7</w:t>
      </w:r>
      <w:r w:rsidR="00656EED"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</w:t>
      </w:r>
      <w:r w:rsidR="00656EED" w:rsidRPr="00367921">
        <w:rPr>
          <w:rFonts w:ascii="Times New Roman" w:hAnsi="Times New Roman" w:cs="Times New Roman"/>
          <w:szCs w:val="24"/>
        </w:rPr>
        <w:t xml:space="preserve">PRAWA WŁASNOŚCI INTELEKTUALNEJ – PRAWA DOSTĘPU DO ISTNIEJĄCEJ WIEDZY I WYNIKÓW ORAZ DO KORZYSTANIA Z NICH </w:t>
      </w:r>
      <w:r w:rsidR="00367921" w:rsidRPr="00367921">
        <w:rPr>
          <w:rFonts w:ascii="Times New Roman" w:hAnsi="Times New Roman" w:cs="Times New Roman"/>
          <w:szCs w:val="24"/>
        </w:rPr>
        <w:t xml:space="preserve">(— </w:t>
      </w:r>
      <w:r w:rsidR="00656EED" w:rsidRPr="00367921">
        <w:rPr>
          <w:rFonts w:ascii="Times New Roman" w:hAnsi="Times New Roman" w:cs="Times New Roman"/>
          <w:szCs w:val="24"/>
        </w:rPr>
        <w:t>ART. 16)</w:t>
      </w:r>
      <w:bookmarkEnd w:id="28"/>
      <w:bookmarkEnd w:id="29"/>
      <w:bookmarkEnd w:id="30"/>
      <w:bookmarkEnd w:id="31"/>
      <w:bookmarkEnd w:id="32"/>
    </w:p>
    <w:p w14:paraId="512FC775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3" w:name="_Toc117674745"/>
      <w:bookmarkStart w:id="34" w:name="_Toc117696676"/>
      <w:bookmarkStart w:id="35" w:name="_Toc122444429"/>
      <w:bookmarkStart w:id="36" w:name="_Toc158104980"/>
    </w:p>
    <w:p w14:paraId="49AC1A63" w14:textId="1632CEC3" w:rsidR="00A92F95" w:rsidRPr="00367921" w:rsidRDefault="00A36726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367921">
        <w:rPr>
          <w:rFonts w:ascii="Times New Roman" w:hAnsi="Times New Roman" w:cs="Times New Roman"/>
          <w:szCs w:val="24"/>
        </w:rPr>
        <w:t>.1 Wykaz wyjściowej własności intelektualnej</w:t>
      </w:r>
      <w:bookmarkEnd w:id="33"/>
      <w:bookmarkEnd w:id="34"/>
      <w:bookmarkEnd w:id="35"/>
      <w:bookmarkEnd w:id="36"/>
      <w:r w:rsidR="005610C5" w:rsidRPr="00367921">
        <w:rPr>
          <w:rFonts w:ascii="Times New Roman" w:hAnsi="Times New Roman" w:cs="Times New Roman"/>
          <w:szCs w:val="24"/>
        </w:rPr>
        <w:t xml:space="preserve"> </w:t>
      </w:r>
    </w:p>
    <w:p w14:paraId="757F963E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6A7D18E3" w14:textId="3103AFE4" w:rsidR="00A92F95" w:rsidRPr="00367921" w:rsidRDefault="00A92F95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W przypadku praw własności przemysłowej</w:t>
      </w:r>
      <w:r w:rsidR="00935652" w:rsidRPr="00367921">
        <w:rPr>
          <w:rFonts w:cs="Times New Roman"/>
          <w:szCs w:val="24"/>
        </w:rPr>
        <w:t xml:space="preserve"> i int</w:t>
      </w:r>
      <w:r w:rsidRPr="00367921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367921">
        <w:rPr>
          <w:rFonts w:cs="Times New Roman"/>
          <w:szCs w:val="24"/>
        </w:rPr>
        <w:t xml:space="preserve"> i int</w:t>
      </w:r>
      <w:r w:rsidRPr="00367921">
        <w:rPr>
          <w:rFonts w:cs="Times New Roman"/>
          <w:szCs w:val="24"/>
        </w:rPr>
        <w:t>elektualnej, określając właścicieli praw.</w:t>
      </w:r>
    </w:p>
    <w:p w14:paraId="1A57054A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3D721A27" w14:textId="3AB3AF40" w:rsidR="00A92F95" w:rsidRPr="00367921" w:rsidRDefault="00A92F95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lastRenderedPageBreak/>
        <w:t>Koordynator musi – przed rozpoczęciem działania – przedstawić ten wykaz organowi przyznającemu dotację.</w:t>
      </w:r>
    </w:p>
    <w:p w14:paraId="26BB5C2F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7" w:name="_Toc122425621"/>
      <w:bookmarkStart w:id="38" w:name="_Toc122444430"/>
      <w:bookmarkStart w:id="39" w:name="_Toc158104981"/>
    </w:p>
    <w:p w14:paraId="42669975" w14:textId="55465B67" w:rsidR="005263CD" w:rsidRPr="00367921" w:rsidRDefault="00A36726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367921">
        <w:rPr>
          <w:rFonts w:ascii="Times New Roman" w:hAnsi="Times New Roman" w:cs="Times New Roman"/>
          <w:szCs w:val="24"/>
        </w:rPr>
        <w:t>.2 Materiały edukacyjne</w:t>
      </w:r>
      <w:bookmarkEnd w:id="37"/>
      <w:bookmarkEnd w:id="38"/>
      <w:bookmarkEnd w:id="39"/>
    </w:p>
    <w:p w14:paraId="44715C61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024AC949" w14:textId="7CCC4B4A" w:rsidR="00331B27" w:rsidRDefault="00507BDD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Jeżeli beneficjenci produkują materiały edukacyjne</w:t>
      </w:r>
      <w:r w:rsidR="00935652" w:rsidRPr="00367921">
        <w:rPr>
          <w:rFonts w:cs="Times New Roman"/>
          <w:szCs w:val="24"/>
        </w:rPr>
        <w:t xml:space="preserve"> w ram</w:t>
      </w:r>
      <w:r w:rsidRPr="00367921">
        <w:rPr>
          <w:rFonts w:cs="Times New Roman"/>
          <w:szCs w:val="24"/>
        </w:rPr>
        <w:t>ach projektu, materiały takie należy udostępniać za pośrednictwem internetu, bezpłatnie oraz na licencjach otwartych</w:t>
      </w:r>
      <w:r w:rsidR="00331B27" w:rsidRPr="00367921">
        <w:rPr>
          <w:rStyle w:val="Odwoanieprzypisudolnego"/>
          <w:sz w:val="24"/>
          <w:szCs w:val="24"/>
        </w:rPr>
        <w:footnoteReference w:id="2"/>
      </w:r>
      <w:r w:rsidRPr="00367921">
        <w:rPr>
          <w:rFonts w:cs="Times New Roman"/>
          <w:szCs w:val="24"/>
        </w:rPr>
        <w:t>. Beneficjenci muszą zapewnić funkcjonowanie</w:t>
      </w:r>
      <w:r w:rsidR="00935652" w:rsidRPr="00367921">
        <w:rPr>
          <w:rFonts w:cs="Times New Roman"/>
          <w:szCs w:val="24"/>
        </w:rPr>
        <w:t xml:space="preserve"> i akt</w:t>
      </w:r>
      <w:r w:rsidRPr="00367921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367921">
        <w:rPr>
          <w:rFonts w:cs="Times New Roman"/>
          <w:szCs w:val="24"/>
        </w:rPr>
        <w:t xml:space="preserve"> z sys</w:t>
      </w:r>
      <w:r w:rsidRPr="00367921">
        <w:rPr>
          <w:rFonts w:cs="Times New Roman"/>
          <w:szCs w:val="24"/>
        </w:rPr>
        <w:t>temu rejestru organizacji, by uniknąć ryzyka przejęcia domeny przez osoby trzecie</w:t>
      </w:r>
      <w:r w:rsidR="00935652" w:rsidRPr="00367921">
        <w:rPr>
          <w:rFonts w:cs="Times New Roman"/>
          <w:szCs w:val="24"/>
        </w:rPr>
        <w:t xml:space="preserve"> i prz</w:t>
      </w:r>
      <w:r w:rsidRPr="00367921">
        <w:rPr>
          <w:rFonts w:cs="Times New Roman"/>
          <w:szCs w:val="24"/>
        </w:rPr>
        <w:t>ekierowania do innych stron internetowych. </w:t>
      </w:r>
    </w:p>
    <w:p w14:paraId="3C1257C5" w14:textId="77777777" w:rsidR="00367921" w:rsidRPr="00367921" w:rsidRDefault="00367921" w:rsidP="00367921">
      <w:pPr>
        <w:spacing w:after="0"/>
        <w:rPr>
          <w:rFonts w:cs="Times New Roman"/>
          <w:szCs w:val="24"/>
        </w:rPr>
      </w:pPr>
    </w:p>
    <w:p w14:paraId="525F0651" w14:textId="77777777" w:rsidR="00A87E7C" w:rsidRPr="00367921" w:rsidRDefault="00A87E7C" w:rsidP="00367921">
      <w:pPr>
        <w:spacing w:after="0"/>
        <w:rPr>
          <w:rFonts w:cs="Times New Roman"/>
          <w:szCs w:val="24"/>
        </w:rPr>
      </w:pPr>
    </w:p>
    <w:p w14:paraId="284ED2CF" w14:textId="67362F68" w:rsidR="00A242F9" w:rsidRPr="00367921" w:rsidRDefault="00A36726" w:rsidP="00367921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40" w:name="_Toc117591134"/>
      <w:bookmarkStart w:id="41" w:name="_Toc117674748"/>
      <w:bookmarkStart w:id="42" w:name="_Toc117696679"/>
      <w:bookmarkStart w:id="43" w:name="_Toc122444431"/>
      <w:bookmarkStart w:id="44" w:name="_Toc158104982"/>
      <w:r>
        <w:rPr>
          <w:rFonts w:ascii="Times New Roman" w:hAnsi="Times New Roman" w:cs="Times New Roman"/>
          <w:szCs w:val="24"/>
        </w:rPr>
        <w:t>8</w:t>
      </w:r>
      <w:r w:rsidR="00656EED"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 </w:t>
      </w:r>
      <w:r w:rsidR="00656EED" w:rsidRPr="00367921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367921">
        <w:rPr>
          <w:rFonts w:ascii="Times New Roman" w:hAnsi="Times New Roman" w:cs="Times New Roman"/>
          <w:szCs w:val="24"/>
        </w:rPr>
        <w:t xml:space="preserve"> i wid</w:t>
      </w:r>
      <w:r w:rsidR="00656EED" w:rsidRPr="00367921">
        <w:rPr>
          <w:rFonts w:ascii="Times New Roman" w:hAnsi="Times New Roman" w:cs="Times New Roman"/>
          <w:szCs w:val="24"/>
        </w:rPr>
        <w:t>oczność</w:t>
      </w:r>
      <w:r w:rsidR="00367921">
        <w:rPr>
          <w:rFonts w:ascii="Times New Roman" w:hAnsi="Times New Roman" w:cs="Times New Roman"/>
          <w:szCs w:val="24"/>
        </w:rPr>
        <w:br/>
      </w:r>
      <w:r w:rsidR="00656EED" w:rsidRPr="00367921">
        <w:rPr>
          <w:rFonts w:ascii="Times New Roman" w:hAnsi="Times New Roman" w:cs="Times New Roman"/>
          <w:szCs w:val="24"/>
        </w:rPr>
        <w:t>(</w:t>
      </w:r>
      <w:r w:rsidR="00367921" w:rsidRPr="00367921">
        <w:rPr>
          <w:rFonts w:ascii="Times New Roman" w:hAnsi="Times New Roman" w:cs="Times New Roman"/>
          <w:szCs w:val="24"/>
        </w:rPr>
        <w:t xml:space="preserve">— </w:t>
      </w:r>
      <w:r w:rsidR="00656EED" w:rsidRPr="00367921">
        <w:rPr>
          <w:rFonts w:ascii="Times New Roman" w:hAnsi="Times New Roman" w:cs="Times New Roman"/>
          <w:szCs w:val="24"/>
        </w:rPr>
        <w:t>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="00656EED" w:rsidRPr="00367921">
        <w:rPr>
          <w:rFonts w:ascii="Times New Roman" w:hAnsi="Times New Roman" w:cs="Times New Roman"/>
          <w:szCs w:val="24"/>
        </w:rPr>
        <w:t>17.4)</w:t>
      </w:r>
      <w:bookmarkEnd w:id="40"/>
      <w:bookmarkEnd w:id="41"/>
      <w:bookmarkEnd w:id="42"/>
      <w:bookmarkEnd w:id="43"/>
      <w:bookmarkEnd w:id="44"/>
    </w:p>
    <w:p w14:paraId="61E35672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7FA53413" w14:textId="4673C1EC" w:rsidR="00AA2C61" w:rsidRPr="00367921" w:rsidRDefault="0067735A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Beneficjenci muszą informować</w:t>
      </w:r>
      <w:r w:rsidR="00935652" w:rsidRPr="00367921">
        <w:rPr>
          <w:rFonts w:cs="Times New Roman"/>
          <w:szCs w:val="24"/>
        </w:rPr>
        <w:t xml:space="preserve"> o otr</w:t>
      </w:r>
      <w:r w:rsidRPr="00367921">
        <w:rPr>
          <w:rFonts w:cs="Times New Roman"/>
          <w:szCs w:val="24"/>
        </w:rPr>
        <w:t>zymaniu wsparcia</w:t>
      </w:r>
      <w:r w:rsidR="00935652" w:rsidRPr="00367921">
        <w:rPr>
          <w:rFonts w:cs="Times New Roman"/>
          <w:szCs w:val="24"/>
        </w:rPr>
        <w:t xml:space="preserve"> w ram</w:t>
      </w:r>
      <w:r w:rsidRPr="00367921">
        <w:rPr>
          <w:rFonts w:cs="Times New Roman"/>
          <w:szCs w:val="24"/>
        </w:rPr>
        <w:t>ach programu Erasmus+ we wszelkiej korespondencji</w:t>
      </w:r>
      <w:r w:rsidR="00935652" w:rsidRPr="00367921">
        <w:rPr>
          <w:rFonts w:cs="Times New Roman"/>
          <w:szCs w:val="24"/>
        </w:rPr>
        <w:t xml:space="preserve"> i mat</w:t>
      </w:r>
      <w:r w:rsidRPr="00367921">
        <w:rPr>
          <w:rFonts w:cs="Times New Roman"/>
          <w:szCs w:val="24"/>
        </w:rPr>
        <w:t>eriałach promocyjnych, również na stronach internetowych</w:t>
      </w:r>
      <w:r w:rsidR="00935652" w:rsidRPr="00367921">
        <w:rPr>
          <w:rFonts w:cs="Times New Roman"/>
          <w:szCs w:val="24"/>
        </w:rPr>
        <w:t xml:space="preserve"> i w med</w:t>
      </w:r>
      <w:r w:rsidRPr="00367921">
        <w:rPr>
          <w:rFonts w:cs="Times New Roman"/>
          <w:szCs w:val="24"/>
        </w:rPr>
        <w:t>iach społecznościowych.</w:t>
      </w:r>
    </w:p>
    <w:p w14:paraId="444FD28F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40275791" w14:textId="697839D7" w:rsidR="00227EB2" w:rsidRPr="00367921" w:rsidRDefault="00227EB2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Wytyczne dla beneficjenta</w:t>
      </w:r>
      <w:r w:rsidR="00935652" w:rsidRPr="00367921">
        <w:rPr>
          <w:rFonts w:cs="Times New Roman"/>
          <w:szCs w:val="24"/>
        </w:rPr>
        <w:t xml:space="preserve"> i osó</w:t>
      </w:r>
      <w:r w:rsidRPr="00367921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Pr="00367921" w:rsidRDefault="00C2461B" w:rsidP="00367921">
      <w:pPr>
        <w:spacing w:after="0"/>
        <w:rPr>
          <w:rFonts w:cs="Times New Roman"/>
          <w:szCs w:val="24"/>
        </w:rPr>
      </w:pPr>
      <w:hyperlink r:id="rId12" w:history="1">
        <w:r w:rsidRPr="00367921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4B8887EF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5" w:name="bookmark1279"/>
      <w:bookmarkStart w:id="46" w:name="bookmark1280"/>
      <w:bookmarkStart w:id="47" w:name="_Toc117674749"/>
      <w:bookmarkStart w:id="48" w:name="_Toc117696680"/>
      <w:bookmarkStart w:id="49" w:name="_Toc122444432"/>
      <w:bookmarkStart w:id="50" w:name="_Toc158104983"/>
      <w:bookmarkEnd w:id="45"/>
      <w:bookmarkEnd w:id="46"/>
    </w:p>
    <w:p w14:paraId="3A796602" w14:textId="5DF3924E" w:rsidR="00AA22A8" w:rsidRPr="00367921" w:rsidRDefault="00A36726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E1FD4" w:rsidRPr="00367921">
        <w:rPr>
          <w:rFonts w:ascii="Times New Roman" w:hAnsi="Times New Roman" w:cs="Times New Roman"/>
          <w:szCs w:val="24"/>
        </w:rPr>
        <w:t xml:space="preserve">.1 </w:t>
      </w:r>
      <w:r w:rsidR="00367921">
        <w:rPr>
          <w:rFonts w:ascii="Times New Roman" w:hAnsi="Times New Roman" w:cs="Times New Roman"/>
          <w:szCs w:val="24"/>
        </w:rPr>
        <w:t xml:space="preserve">     </w:t>
      </w:r>
      <w:r w:rsidR="003E1FD4" w:rsidRPr="00367921">
        <w:rPr>
          <w:rFonts w:ascii="Times New Roman" w:hAnsi="Times New Roman" w:cs="Times New Roman"/>
          <w:szCs w:val="24"/>
        </w:rPr>
        <w:t>Platforma Rezultatów Programu Erasmus+</w:t>
      </w:r>
      <w:bookmarkEnd w:id="47"/>
      <w:bookmarkEnd w:id="48"/>
      <w:bookmarkEnd w:id="49"/>
      <w:bookmarkEnd w:id="50"/>
    </w:p>
    <w:p w14:paraId="09237E77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5E4B2BB9" w14:textId="4FD3BDC1" w:rsidR="00AA22A8" w:rsidRPr="00367921" w:rsidRDefault="006074DC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Jeżeli</w:t>
      </w:r>
      <w:r w:rsidR="00935652" w:rsidRPr="00367921">
        <w:rPr>
          <w:rFonts w:cs="Times New Roman"/>
          <w:szCs w:val="24"/>
        </w:rPr>
        <w:t xml:space="preserve"> w ram</w:t>
      </w:r>
      <w:r w:rsidRPr="00367921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hyperlink r:id="rId13" w:history="1">
        <w:r w:rsidR="00A87E7C" w:rsidRPr="00367921">
          <w:rPr>
            <w:rStyle w:val="Hipercze"/>
            <w:rFonts w:cs="Times New Roman"/>
            <w:szCs w:val="24"/>
          </w:rPr>
          <w:t>http://ec.europa.eu/programmes/erasmus-plus/projects</w:t>
        </w:r>
      </w:hyperlink>
      <w:r w:rsidRPr="00367921">
        <w:rPr>
          <w:rFonts w:cs="Times New Roman"/>
          <w:szCs w:val="24"/>
        </w:rPr>
        <w:t xml:space="preserve">). </w:t>
      </w:r>
    </w:p>
    <w:p w14:paraId="37AE59AF" w14:textId="77777777" w:rsidR="00A87E7C" w:rsidRDefault="00A87E7C" w:rsidP="00367921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48C54660" w14:textId="77777777" w:rsidR="00367921" w:rsidRPr="00367921" w:rsidRDefault="00367921" w:rsidP="00367921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65FC7A5" w14:textId="165F3898" w:rsidR="00765956" w:rsidRPr="00367921" w:rsidRDefault="00A36726" w:rsidP="00367921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51" w:name="bookmark1281"/>
      <w:bookmarkStart w:id="52" w:name="_Toc117591135"/>
      <w:bookmarkStart w:id="53" w:name="_Toc117674750"/>
      <w:bookmarkStart w:id="54" w:name="_Toc117696681"/>
      <w:bookmarkStart w:id="55" w:name="_Toc122444433"/>
      <w:bookmarkStart w:id="56" w:name="_Toc158104984"/>
      <w:bookmarkEnd w:id="51"/>
      <w:r>
        <w:rPr>
          <w:rFonts w:ascii="Times New Roman" w:hAnsi="Times New Roman" w:cs="Times New Roman"/>
          <w:szCs w:val="24"/>
        </w:rPr>
        <w:t>9</w:t>
      </w:r>
      <w:r w:rsidR="00656EED"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     </w:t>
      </w:r>
      <w:r w:rsidR="00656EED" w:rsidRPr="00367921">
        <w:rPr>
          <w:rFonts w:ascii="Times New Roman" w:hAnsi="Times New Roman" w:cs="Times New Roman"/>
          <w:szCs w:val="24"/>
        </w:rPr>
        <w:t>Postanowienia szczegółowe dotyczące realizacji działania</w:t>
      </w:r>
      <w:r w:rsidR="00367921">
        <w:rPr>
          <w:rFonts w:ascii="Times New Roman" w:hAnsi="Times New Roman" w:cs="Times New Roman"/>
          <w:szCs w:val="24"/>
        </w:rPr>
        <w:br/>
      </w:r>
      <w:r w:rsidR="00656EED" w:rsidRPr="00367921">
        <w:rPr>
          <w:rFonts w:ascii="Times New Roman" w:hAnsi="Times New Roman" w:cs="Times New Roman"/>
          <w:szCs w:val="24"/>
        </w:rPr>
        <w:t xml:space="preserve">( </w:t>
      </w:r>
      <w:r w:rsidR="00367921" w:rsidRPr="00367921">
        <w:rPr>
          <w:rFonts w:ascii="Times New Roman" w:hAnsi="Times New Roman" w:cs="Times New Roman"/>
          <w:szCs w:val="24"/>
        </w:rPr>
        <w:t>—</w:t>
      </w:r>
      <w:r w:rsidR="00367921">
        <w:rPr>
          <w:rFonts w:ascii="Times New Roman" w:hAnsi="Times New Roman" w:cs="Times New Roman"/>
          <w:szCs w:val="24"/>
        </w:rPr>
        <w:t xml:space="preserve"> </w:t>
      </w:r>
      <w:r w:rsidR="00656EED" w:rsidRPr="00367921">
        <w:rPr>
          <w:rFonts w:ascii="Times New Roman" w:hAnsi="Times New Roman" w:cs="Times New Roman"/>
          <w:szCs w:val="24"/>
        </w:rPr>
        <w:t>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="00656EED" w:rsidRPr="00367921">
        <w:rPr>
          <w:rFonts w:ascii="Times New Roman" w:hAnsi="Times New Roman" w:cs="Times New Roman"/>
          <w:szCs w:val="24"/>
        </w:rPr>
        <w:t>18)</w:t>
      </w:r>
      <w:bookmarkEnd w:id="52"/>
      <w:bookmarkEnd w:id="53"/>
      <w:bookmarkEnd w:id="54"/>
      <w:bookmarkEnd w:id="55"/>
      <w:bookmarkEnd w:id="56"/>
    </w:p>
    <w:p w14:paraId="28829D83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7" w:name="_Toc117674751"/>
      <w:bookmarkStart w:id="58" w:name="_Toc117696682"/>
      <w:bookmarkStart w:id="59" w:name="_Toc122444434"/>
      <w:bookmarkStart w:id="60" w:name="_Toc158104985"/>
    </w:p>
    <w:p w14:paraId="737ABE2F" w14:textId="4A058168" w:rsidR="00765956" w:rsidRPr="00367921" w:rsidRDefault="00A36726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E1FD4" w:rsidRPr="00367921">
        <w:rPr>
          <w:rFonts w:ascii="Times New Roman" w:hAnsi="Times New Roman" w:cs="Times New Roman"/>
          <w:szCs w:val="24"/>
        </w:rPr>
        <w:t xml:space="preserve">.1 </w:t>
      </w:r>
      <w:r w:rsidR="00367921">
        <w:rPr>
          <w:rFonts w:ascii="Times New Roman" w:hAnsi="Times New Roman" w:cs="Times New Roman"/>
          <w:szCs w:val="24"/>
        </w:rPr>
        <w:t xml:space="preserve">   </w:t>
      </w:r>
      <w:r w:rsidR="003E1FD4" w:rsidRPr="00367921">
        <w:rPr>
          <w:rFonts w:ascii="Times New Roman" w:hAnsi="Times New Roman" w:cs="Times New Roman"/>
          <w:szCs w:val="24"/>
        </w:rPr>
        <w:t>Unijne środki ograniczające</w:t>
      </w:r>
      <w:bookmarkEnd w:id="57"/>
      <w:bookmarkEnd w:id="58"/>
      <w:bookmarkEnd w:id="59"/>
      <w:bookmarkEnd w:id="60"/>
    </w:p>
    <w:p w14:paraId="23FC0BAA" w14:textId="77777777" w:rsidR="00367921" w:rsidRDefault="00367921" w:rsidP="0036792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35E16C14" w:rsidR="003A0886" w:rsidRPr="00367921" w:rsidRDefault="00765956" w:rsidP="0036792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921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367921">
        <w:rPr>
          <w:rFonts w:ascii="Times New Roman" w:hAnsi="Times New Roman" w:cs="Times New Roman"/>
          <w:sz w:val="24"/>
          <w:szCs w:val="24"/>
        </w:rPr>
        <w:t> </w:t>
      </w:r>
      <w:r w:rsidRPr="00367921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367921">
        <w:rPr>
          <w:rFonts w:ascii="Times New Roman" w:hAnsi="Times New Roman" w:cs="Times New Roman"/>
          <w:sz w:val="24"/>
          <w:szCs w:val="24"/>
        </w:rPr>
        <w:t xml:space="preserve"> o Uni</w:t>
      </w:r>
      <w:r w:rsidRPr="00367921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367921">
        <w:rPr>
          <w:rFonts w:ascii="Times New Roman" w:hAnsi="Times New Roman" w:cs="Times New Roman"/>
          <w:sz w:val="24"/>
          <w:szCs w:val="24"/>
        </w:rPr>
        <w:t> </w:t>
      </w:r>
      <w:r w:rsidRPr="00367921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367921">
        <w:rPr>
          <w:rFonts w:ascii="Times New Roman" w:hAnsi="Times New Roman" w:cs="Times New Roman"/>
          <w:sz w:val="24"/>
          <w:szCs w:val="24"/>
        </w:rPr>
        <w:t xml:space="preserve"> o fun</w:t>
      </w:r>
      <w:r w:rsidRPr="00367921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31D2EFDA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1" w:name="_Toc158104986"/>
    </w:p>
    <w:p w14:paraId="27486100" w14:textId="4FFCFFF1" w:rsidR="002C176B" w:rsidRPr="00367921" w:rsidRDefault="00A36726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2C176B" w:rsidRPr="00367921">
        <w:rPr>
          <w:rFonts w:ascii="Times New Roman" w:hAnsi="Times New Roman" w:cs="Times New Roman"/>
          <w:szCs w:val="24"/>
        </w:rPr>
        <w:t xml:space="preserve">.2 </w:t>
      </w:r>
      <w:r w:rsidR="00367921">
        <w:rPr>
          <w:rFonts w:ascii="Times New Roman" w:hAnsi="Times New Roman" w:cs="Times New Roman"/>
          <w:szCs w:val="24"/>
        </w:rPr>
        <w:t xml:space="preserve">   </w:t>
      </w:r>
      <w:r w:rsidR="002C176B" w:rsidRPr="00367921">
        <w:rPr>
          <w:rFonts w:ascii="Times New Roman" w:hAnsi="Times New Roman" w:cs="Times New Roman"/>
          <w:szCs w:val="24"/>
        </w:rPr>
        <w:t>Obowiązkowe spotkania informacyjne</w:t>
      </w:r>
      <w:r w:rsidR="00935652" w:rsidRPr="00367921">
        <w:rPr>
          <w:rFonts w:ascii="Times New Roman" w:hAnsi="Times New Roman" w:cs="Times New Roman"/>
          <w:szCs w:val="24"/>
        </w:rPr>
        <w:t xml:space="preserve"> i szk</w:t>
      </w:r>
      <w:r w:rsidR="002C176B" w:rsidRPr="00367921">
        <w:rPr>
          <w:rFonts w:ascii="Times New Roman" w:hAnsi="Times New Roman" w:cs="Times New Roman"/>
          <w:szCs w:val="24"/>
        </w:rPr>
        <w:t>olenia</w:t>
      </w:r>
      <w:bookmarkEnd w:id="61"/>
    </w:p>
    <w:p w14:paraId="6355663F" w14:textId="77777777" w:rsidR="00367921" w:rsidRDefault="00367921" w:rsidP="0036792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04484395" w:rsidR="002C176B" w:rsidRPr="00367921" w:rsidRDefault="002C176B" w:rsidP="0036792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921">
        <w:rPr>
          <w:rFonts w:ascii="Times New Roman" w:hAnsi="Times New Roman" w:cs="Times New Roman"/>
          <w:sz w:val="24"/>
          <w:szCs w:val="24"/>
        </w:rPr>
        <w:lastRenderedPageBreak/>
        <w:t>Beneficjent musi wziąć udział</w:t>
      </w:r>
      <w:r w:rsidR="00935652" w:rsidRPr="00367921">
        <w:rPr>
          <w:rFonts w:ascii="Times New Roman" w:hAnsi="Times New Roman" w:cs="Times New Roman"/>
          <w:sz w:val="24"/>
          <w:szCs w:val="24"/>
        </w:rPr>
        <w:t xml:space="preserve"> w spo</w:t>
      </w:r>
      <w:r w:rsidRPr="00367921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367921">
        <w:rPr>
          <w:rFonts w:ascii="Times New Roman" w:hAnsi="Times New Roman" w:cs="Times New Roman"/>
          <w:sz w:val="24"/>
          <w:szCs w:val="24"/>
        </w:rPr>
        <w:t xml:space="preserve"> i szk</w:t>
      </w:r>
      <w:r w:rsidRPr="00367921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659E2A1C" w14:textId="77777777" w:rsidR="00A87E7C" w:rsidRDefault="00A87E7C" w:rsidP="0036792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7746B" w14:textId="77777777" w:rsidR="00367921" w:rsidRPr="00367921" w:rsidRDefault="00367921" w:rsidP="00367921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60922" w14:textId="2FC63C02" w:rsidR="00A141D8" w:rsidRDefault="00656EED" w:rsidP="00367921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62" w:name="_Toc117591136"/>
      <w:bookmarkStart w:id="63" w:name="_Toc117674752"/>
      <w:bookmarkStart w:id="64" w:name="_Toc117696683"/>
      <w:bookmarkStart w:id="65" w:name="_Toc122444435"/>
      <w:bookmarkStart w:id="66" w:name="_Toc158104987"/>
      <w:r w:rsidRPr="00367921">
        <w:rPr>
          <w:rFonts w:ascii="Times New Roman" w:hAnsi="Times New Roman" w:cs="Times New Roman"/>
          <w:szCs w:val="24"/>
        </w:rPr>
        <w:t>9</w:t>
      </w:r>
      <w:r w:rsidR="00A36726">
        <w:rPr>
          <w:rFonts w:ascii="Times New Roman" w:hAnsi="Times New Roman" w:cs="Times New Roman"/>
          <w:szCs w:val="24"/>
        </w:rPr>
        <w:t>10</w:t>
      </w:r>
      <w:r w:rsidRPr="00367921">
        <w:rPr>
          <w:rFonts w:ascii="Times New Roman" w:hAnsi="Times New Roman" w:cs="Times New Roman"/>
          <w:szCs w:val="24"/>
        </w:rPr>
        <w:t xml:space="preserve"> </w:t>
      </w:r>
      <w:r w:rsidR="00367921">
        <w:rPr>
          <w:rFonts w:ascii="Times New Roman" w:hAnsi="Times New Roman" w:cs="Times New Roman"/>
          <w:szCs w:val="24"/>
        </w:rPr>
        <w:t xml:space="preserve">     </w:t>
      </w:r>
      <w:r w:rsidRPr="00367921">
        <w:rPr>
          <w:rFonts w:ascii="Times New Roman" w:hAnsi="Times New Roman" w:cs="Times New Roman"/>
          <w:szCs w:val="24"/>
        </w:rPr>
        <w:t>Sprawozdawczość (</w:t>
      </w:r>
      <w:r w:rsidR="00367921" w:rsidRPr="00367921">
        <w:rPr>
          <w:rFonts w:ascii="Times New Roman" w:hAnsi="Times New Roman" w:cs="Times New Roman"/>
          <w:szCs w:val="24"/>
        </w:rPr>
        <w:t>—</w:t>
      </w:r>
      <w:r w:rsidRPr="00367921">
        <w:rPr>
          <w:rFonts w:ascii="Times New Roman" w:hAnsi="Times New Roman" w:cs="Times New Roman"/>
          <w:szCs w:val="24"/>
        </w:rPr>
        <w:t xml:space="preserve"> 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Pr="00367921">
        <w:rPr>
          <w:rFonts w:ascii="Times New Roman" w:hAnsi="Times New Roman" w:cs="Times New Roman"/>
          <w:szCs w:val="24"/>
        </w:rPr>
        <w:t>21)</w:t>
      </w:r>
      <w:bookmarkEnd w:id="62"/>
      <w:bookmarkEnd w:id="63"/>
      <w:bookmarkEnd w:id="64"/>
      <w:bookmarkEnd w:id="65"/>
      <w:bookmarkEnd w:id="66"/>
    </w:p>
    <w:p w14:paraId="404514A9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7" w:name="_Toc72499022"/>
      <w:bookmarkStart w:id="68" w:name="_Toc102463253"/>
      <w:bookmarkStart w:id="69" w:name="_Toc117674753"/>
      <w:bookmarkStart w:id="70" w:name="_Toc117696684"/>
      <w:bookmarkStart w:id="71" w:name="_Toc122444436"/>
      <w:bookmarkStart w:id="72" w:name="_Toc158104988"/>
    </w:p>
    <w:p w14:paraId="509E9841" w14:textId="1946CAEF" w:rsidR="00A141D8" w:rsidRPr="00367921" w:rsidRDefault="00A36726" w:rsidP="00367921">
      <w:pPr>
        <w:pStyle w:val="Nagwek2"/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367921">
        <w:rPr>
          <w:rFonts w:ascii="Times New Roman" w:hAnsi="Times New Roman" w:cs="Times New Roman"/>
          <w:szCs w:val="24"/>
        </w:rPr>
        <w:t>.1 Narzędzie sprawozdawczości</w:t>
      </w:r>
      <w:r w:rsidR="00935652" w:rsidRPr="00367921">
        <w:rPr>
          <w:rFonts w:ascii="Times New Roman" w:hAnsi="Times New Roman" w:cs="Times New Roman"/>
          <w:szCs w:val="24"/>
        </w:rPr>
        <w:t xml:space="preserve"> i zar</w:t>
      </w:r>
      <w:r w:rsidR="005610C5" w:rsidRPr="00367921">
        <w:rPr>
          <w:rFonts w:ascii="Times New Roman" w:hAnsi="Times New Roman" w:cs="Times New Roman"/>
          <w:szCs w:val="24"/>
        </w:rPr>
        <w:t>ządzania Erasmus+</w:t>
      </w:r>
      <w:bookmarkEnd w:id="67"/>
      <w:bookmarkEnd w:id="68"/>
      <w:bookmarkEnd w:id="69"/>
      <w:bookmarkEnd w:id="70"/>
      <w:bookmarkEnd w:id="71"/>
      <w:bookmarkEnd w:id="72"/>
    </w:p>
    <w:p w14:paraId="0401E3B7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19910EC3" w14:textId="5BC913CE" w:rsidR="00A141D8" w:rsidRDefault="00A141D8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Koordynator musi korzystać</w:t>
      </w:r>
      <w:r w:rsidR="00935652" w:rsidRPr="00367921">
        <w:rPr>
          <w:rFonts w:cs="Times New Roman"/>
          <w:szCs w:val="24"/>
        </w:rPr>
        <w:t xml:space="preserve"> z int</w:t>
      </w:r>
      <w:r w:rsidRPr="00367921">
        <w:rPr>
          <w:rFonts w:cs="Times New Roman"/>
          <w:szCs w:val="24"/>
        </w:rPr>
        <w:t>ernetowego narzędzia sprawozdawczości</w:t>
      </w:r>
      <w:r w:rsidR="00935652" w:rsidRPr="00367921">
        <w:rPr>
          <w:rFonts w:cs="Times New Roman"/>
          <w:szCs w:val="24"/>
        </w:rPr>
        <w:t xml:space="preserve"> i zar</w:t>
      </w:r>
      <w:r w:rsidRPr="00367921">
        <w:rPr>
          <w:rFonts w:cs="Times New Roman"/>
          <w:szCs w:val="24"/>
        </w:rPr>
        <w:t>ządzania udostępnionego przez Komisję Europejską</w:t>
      </w:r>
      <w:r w:rsidR="00935652" w:rsidRPr="00367921">
        <w:rPr>
          <w:rFonts w:cs="Times New Roman"/>
          <w:szCs w:val="24"/>
        </w:rPr>
        <w:t xml:space="preserve"> w cel</w:t>
      </w:r>
      <w:r w:rsidRPr="00367921">
        <w:rPr>
          <w:rFonts w:cs="Times New Roman"/>
          <w:szCs w:val="24"/>
        </w:rPr>
        <w:t>u rejestrowania wszelkich informacji mających związek</w:t>
      </w:r>
      <w:r w:rsidR="00935652" w:rsidRPr="00367921">
        <w:rPr>
          <w:rFonts w:cs="Times New Roman"/>
          <w:szCs w:val="24"/>
        </w:rPr>
        <w:t xml:space="preserve"> z dzi</w:t>
      </w:r>
      <w:r w:rsidRPr="00367921">
        <w:rPr>
          <w:rFonts w:cs="Times New Roman"/>
          <w:szCs w:val="24"/>
        </w:rPr>
        <w:t>ałaniami podjętymi</w:t>
      </w:r>
      <w:r w:rsidR="00935652" w:rsidRPr="00367921">
        <w:rPr>
          <w:rFonts w:cs="Times New Roman"/>
          <w:szCs w:val="24"/>
        </w:rPr>
        <w:t xml:space="preserve"> w ram</w:t>
      </w:r>
      <w:r w:rsidRPr="00367921">
        <w:rPr>
          <w:rFonts w:cs="Times New Roman"/>
          <w:szCs w:val="24"/>
        </w:rPr>
        <w:t>ach projektu (w tym działaniami, które nie otrzymały bezpośredniego wsparcia</w:t>
      </w:r>
      <w:r w:rsidR="00935652" w:rsidRPr="00367921">
        <w:rPr>
          <w:rFonts w:cs="Times New Roman"/>
          <w:szCs w:val="24"/>
        </w:rPr>
        <w:t xml:space="preserve"> w for</w:t>
      </w:r>
      <w:r w:rsidRPr="00367921">
        <w:rPr>
          <w:rFonts w:cs="Times New Roman"/>
          <w:szCs w:val="24"/>
        </w:rPr>
        <w:t>mie dotacji ze środków UE) oraz sporządzenia</w:t>
      </w:r>
      <w:r w:rsidR="00935652" w:rsidRPr="00367921">
        <w:rPr>
          <w:rFonts w:cs="Times New Roman"/>
          <w:szCs w:val="24"/>
        </w:rPr>
        <w:t xml:space="preserve"> i prz</w:t>
      </w:r>
      <w:r w:rsidRPr="00367921">
        <w:rPr>
          <w:rFonts w:cs="Times New Roman"/>
          <w:szCs w:val="24"/>
        </w:rPr>
        <w:t>edłożenia sprawozdania</w:t>
      </w:r>
      <w:r w:rsidR="00A36726">
        <w:rPr>
          <w:rFonts w:cs="Times New Roman"/>
          <w:szCs w:val="24"/>
        </w:rPr>
        <w:t xml:space="preserve"> końcowego, sprawozdania</w:t>
      </w:r>
      <w:r w:rsidRPr="00367921">
        <w:rPr>
          <w:rFonts w:cs="Times New Roman"/>
          <w:szCs w:val="24"/>
        </w:rPr>
        <w:t xml:space="preserve"> (sprawozdań)</w:t>
      </w:r>
      <w:r w:rsidR="00935652" w:rsidRPr="00367921">
        <w:rPr>
          <w:rFonts w:cs="Times New Roman"/>
          <w:szCs w:val="24"/>
        </w:rPr>
        <w:t xml:space="preserve"> z pos</w:t>
      </w:r>
      <w:r w:rsidRPr="00367921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367921">
        <w:rPr>
          <w:rFonts w:cs="Times New Roman"/>
          <w:szCs w:val="24"/>
        </w:rPr>
        <w:t xml:space="preserve"> w nar</w:t>
      </w:r>
      <w:r w:rsidRPr="00367921">
        <w:rPr>
          <w:rFonts w:cs="Times New Roman"/>
          <w:szCs w:val="24"/>
        </w:rPr>
        <w:t>zędziu sprawozdawczości</w:t>
      </w:r>
      <w:r w:rsidR="00935652" w:rsidRPr="00367921">
        <w:rPr>
          <w:rFonts w:cs="Times New Roman"/>
          <w:szCs w:val="24"/>
        </w:rPr>
        <w:t xml:space="preserve"> i zar</w:t>
      </w:r>
      <w:r w:rsidRPr="00367921">
        <w:rPr>
          <w:rFonts w:cs="Times New Roman"/>
          <w:szCs w:val="24"/>
        </w:rPr>
        <w:t>ządzania Erasmus+ oraz</w:t>
      </w:r>
      <w:r w:rsidR="00935652" w:rsidRPr="00367921">
        <w:rPr>
          <w:rFonts w:cs="Times New Roman"/>
          <w:szCs w:val="24"/>
        </w:rPr>
        <w:t xml:space="preserve"> w prz</w:t>
      </w:r>
      <w:r w:rsidRPr="00367921">
        <w:rPr>
          <w:rFonts w:cs="Times New Roman"/>
          <w:szCs w:val="24"/>
        </w:rPr>
        <w:t>ypadkach określonych</w:t>
      </w:r>
      <w:r w:rsidR="00935652" w:rsidRPr="00367921">
        <w:rPr>
          <w:rFonts w:cs="Times New Roman"/>
          <w:szCs w:val="24"/>
        </w:rPr>
        <w:t xml:space="preserve"> w art</w:t>
      </w:r>
      <w:r w:rsidRPr="00367921">
        <w:rPr>
          <w:rFonts w:cs="Times New Roman"/>
          <w:szCs w:val="24"/>
        </w:rPr>
        <w:t>.</w:t>
      </w:r>
      <w:r w:rsidR="00935652" w:rsidRPr="00367921">
        <w:rPr>
          <w:rFonts w:cs="Times New Roman"/>
          <w:szCs w:val="24"/>
        </w:rPr>
        <w:t> </w:t>
      </w:r>
      <w:r w:rsidRPr="00367921">
        <w:rPr>
          <w:rFonts w:cs="Times New Roman"/>
          <w:szCs w:val="24"/>
        </w:rPr>
        <w:t>21.2). Beneficjent nie może zlecić wykonania czynności sprawozdawczych ani zapewnić dostępu do narzędzia sprawozdawczości</w:t>
      </w:r>
      <w:r w:rsidR="00935652" w:rsidRPr="00367921">
        <w:rPr>
          <w:rFonts w:cs="Times New Roman"/>
          <w:szCs w:val="24"/>
        </w:rPr>
        <w:t xml:space="preserve"> i zar</w:t>
      </w:r>
      <w:r w:rsidRPr="00367921">
        <w:rPr>
          <w:rFonts w:cs="Times New Roman"/>
          <w:szCs w:val="24"/>
        </w:rPr>
        <w:t>ządzania osobom zewnętrznym.</w:t>
      </w:r>
    </w:p>
    <w:p w14:paraId="5476C66B" w14:textId="77777777" w:rsidR="00367921" w:rsidRPr="00367921" w:rsidRDefault="00367921" w:rsidP="00367921">
      <w:pPr>
        <w:suppressAutoHyphens/>
        <w:spacing w:after="0"/>
        <w:rPr>
          <w:rFonts w:eastAsia="Calibri" w:cs="Times New Roman"/>
          <w:szCs w:val="24"/>
        </w:rPr>
      </w:pPr>
    </w:p>
    <w:p w14:paraId="26ECBF23" w14:textId="63D5DF1F" w:rsidR="564DA5AB" w:rsidRPr="00367921" w:rsidRDefault="0053307B" w:rsidP="00367921">
      <w:pPr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Działania muszą być wprowadzone do narzędzia sprawozdawczości</w:t>
      </w:r>
      <w:r w:rsidR="00935652" w:rsidRPr="00367921">
        <w:rPr>
          <w:rFonts w:cs="Times New Roman"/>
          <w:szCs w:val="24"/>
        </w:rPr>
        <w:t xml:space="preserve"> i zar</w:t>
      </w:r>
      <w:r w:rsidRPr="00367921">
        <w:rPr>
          <w:rFonts w:cs="Times New Roman"/>
          <w:szCs w:val="24"/>
        </w:rPr>
        <w:t>ządzania Erasmus+ przed ich rozpoczęciem</w:t>
      </w:r>
      <w:r w:rsidR="00935652" w:rsidRPr="00367921">
        <w:rPr>
          <w:rFonts w:cs="Times New Roman"/>
          <w:szCs w:val="24"/>
        </w:rPr>
        <w:t xml:space="preserve"> i pod</w:t>
      </w:r>
      <w:r w:rsidRPr="00367921">
        <w:rPr>
          <w:rFonts w:cs="Times New Roman"/>
          <w:szCs w:val="24"/>
        </w:rPr>
        <w:t>dane ocenie po ich zakończeniu.</w:t>
      </w:r>
    </w:p>
    <w:p w14:paraId="7EEC0A21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3" w:name="_Toc122444437"/>
      <w:bookmarkStart w:id="74" w:name="_Toc158104989"/>
    </w:p>
    <w:p w14:paraId="208E88B3" w14:textId="4C09B81A" w:rsidR="00EB357D" w:rsidRPr="00367921" w:rsidRDefault="00A36726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EB357D" w:rsidRPr="00367921">
        <w:rPr>
          <w:rFonts w:ascii="Times New Roman" w:hAnsi="Times New Roman" w:cs="Times New Roman"/>
          <w:szCs w:val="24"/>
        </w:rPr>
        <w:t>.2</w:t>
      </w:r>
      <w:r w:rsidR="00367921">
        <w:rPr>
          <w:rFonts w:ascii="Times New Roman" w:hAnsi="Times New Roman" w:cs="Times New Roman"/>
          <w:szCs w:val="24"/>
        </w:rPr>
        <w:t xml:space="preserve">     </w:t>
      </w:r>
      <w:r w:rsidR="00EB357D" w:rsidRPr="00367921">
        <w:rPr>
          <w:rFonts w:ascii="Times New Roman" w:hAnsi="Times New Roman" w:cs="Times New Roman"/>
          <w:szCs w:val="24"/>
        </w:rPr>
        <w:t>Sprawozdanie okresowe</w:t>
      </w:r>
      <w:r w:rsidR="00935652" w:rsidRPr="00367921">
        <w:rPr>
          <w:rFonts w:ascii="Times New Roman" w:hAnsi="Times New Roman" w:cs="Times New Roman"/>
          <w:szCs w:val="24"/>
        </w:rPr>
        <w:t xml:space="preserve"> i spr</w:t>
      </w:r>
      <w:r w:rsidR="00EB357D" w:rsidRPr="00367921">
        <w:rPr>
          <w:rFonts w:ascii="Times New Roman" w:hAnsi="Times New Roman" w:cs="Times New Roman"/>
          <w:szCs w:val="24"/>
        </w:rPr>
        <w:t>awozdanie</w:t>
      </w:r>
      <w:r w:rsidR="00935652" w:rsidRPr="00367921">
        <w:rPr>
          <w:rFonts w:ascii="Times New Roman" w:hAnsi="Times New Roman" w:cs="Times New Roman"/>
          <w:szCs w:val="24"/>
        </w:rPr>
        <w:t xml:space="preserve"> z pos</w:t>
      </w:r>
      <w:r w:rsidR="00EB357D" w:rsidRPr="00367921">
        <w:rPr>
          <w:rFonts w:ascii="Times New Roman" w:hAnsi="Times New Roman" w:cs="Times New Roman"/>
          <w:szCs w:val="24"/>
        </w:rPr>
        <w:t>tępu prac</w:t>
      </w:r>
      <w:bookmarkEnd w:id="73"/>
      <w:bookmarkEnd w:id="74"/>
    </w:p>
    <w:p w14:paraId="7A66371D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437DAFA0" w14:textId="77777777" w:rsidR="00A36726" w:rsidRPr="00A36726" w:rsidRDefault="00A36726" w:rsidP="00A36726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A36726">
        <w:rPr>
          <w:rFonts w:eastAsia="Calibri" w:cs="Arial"/>
          <w:i/>
          <w:color w:val="4AA55B"/>
        </w:rPr>
        <w:t>[Wariant w przypadku projektów, dla których wymagane jest sprawozdanie okresowe lub sprawozdanie z postępu prac:</w:t>
      </w:r>
    </w:p>
    <w:p w14:paraId="47C753C8" w14:textId="77777777" w:rsidR="00A36726" w:rsidRPr="00A36726" w:rsidRDefault="00A36726" w:rsidP="00A36726">
      <w:pPr>
        <w:widowControl w:val="0"/>
        <w:spacing w:after="120"/>
        <w:rPr>
          <w:rFonts w:eastAsia="Calibri" w:cs="Arial"/>
        </w:rPr>
      </w:pPr>
      <w:r w:rsidRPr="00A36726">
        <w:rPr>
          <w:rFonts w:eastAsia="Calibri" w:cs="Arial"/>
        </w:rPr>
        <w:t xml:space="preserve">Sprawozdanie okresowe i sprawozdanie z postępu prac muszą zawierać informacje o realizacji projektu. W przypadku sprawozdania okresowego należy ponadto przedstawić sprawozdanie finansowe. </w:t>
      </w:r>
    </w:p>
    <w:p w14:paraId="44E60482" w14:textId="77777777" w:rsidR="00A36726" w:rsidRPr="00A36726" w:rsidRDefault="00A36726" w:rsidP="00A36726">
      <w:pPr>
        <w:spacing w:line="276" w:lineRule="auto"/>
        <w:rPr>
          <w:rFonts w:eastAsia="Calibri" w:cs="Arial"/>
        </w:rPr>
      </w:pPr>
      <w:r w:rsidRPr="00A36726">
        <w:rPr>
          <w:rFonts w:eastAsia="Calibri" w:cs="Arial"/>
        </w:rPr>
        <w:t>Sprawozdania należy sporządzić przy użyciu wzoru dostępnego w narzędziu sprawozdawczości i zarządzania Erasmus+ lub ewentualnie dostarczonego przez agencję narodową. Przez podpisanie sprawozdania beneficjenci potwierdzają, że przekazane informacje są kompletne, wiarygodne i prawdziwe.</w:t>
      </w:r>
    </w:p>
    <w:p w14:paraId="4747DBCC" w14:textId="77777777" w:rsidR="00A36726" w:rsidRPr="00A36726" w:rsidRDefault="00A36726" w:rsidP="00A36726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A36726">
        <w:rPr>
          <w:rFonts w:eastAsia="Calibri" w:cs="Arial"/>
          <w:i/>
          <w:color w:val="4AA55B"/>
        </w:rPr>
        <w:t>[Wariant w przypadku projektów, dla których sprawozdanie okresowe ani sprawozdanie z postępu prac nie jest wymagane:</w:t>
      </w:r>
    </w:p>
    <w:p w14:paraId="2AC80285" w14:textId="77777777" w:rsidR="00A36726" w:rsidRPr="00A36726" w:rsidRDefault="00A36726" w:rsidP="00A36726">
      <w:pPr>
        <w:rPr>
          <w:rFonts w:eastAsia="Calibri" w:cs="Arial"/>
        </w:rPr>
      </w:pPr>
      <w:r w:rsidRPr="00A36726">
        <w:rPr>
          <w:rFonts w:eastAsia="Calibri" w:cs="Arial"/>
        </w:rPr>
        <w:t>Nie dotyczy.</w:t>
      </w:r>
    </w:p>
    <w:p w14:paraId="1D27FA4A" w14:textId="410D5D5E" w:rsidR="002C7FD1" w:rsidRPr="00367921" w:rsidRDefault="002C7FD1" w:rsidP="00367921">
      <w:pPr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 xml:space="preserve"> </w:t>
      </w:r>
    </w:p>
    <w:p w14:paraId="449C110E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5" w:name="_Toc529785734"/>
      <w:bookmarkStart w:id="76" w:name="_Toc529786067"/>
      <w:bookmarkStart w:id="77" w:name="_Toc529785735"/>
      <w:bookmarkStart w:id="78" w:name="_Toc529786068"/>
      <w:bookmarkStart w:id="79" w:name="_Toc529785736"/>
      <w:bookmarkStart w:id="80" w:name="_Toc529786069"/>
      <w:bookmarkStart w:id="81" w:name="_Toc529785737"/>
      <w:bookmarkStart w:id="82" w:name="_Toc529786070"/>
      <w:bookmarkStart w:id="83" w:name="_Toc529785738"/>
      <w:bookmarkStart w:id="84" w:name="_Toc529786071"/>
      <w:bookmarkStart w:id="85" w:name="_Toc102463255"/>
      <w:bookmarkStart w:id="86" w:name="_Toc117674754"/>
      <w:bookmarkStart w:id="87" w:name="_Toc117696685"/>
      <w:bookmarkStart w:id="88" w:name="_Toc122444438"/>
      <w:bookmarkStart w:id="89" w:name="_Toc158104990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36576170" w14:textId="38C3BDC9" w:rsidR="00F00C82" w:rsidRPr="00367921" w:rsidRDefault="00A36726" w:rsidP="00367921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367921">
        <w:rPr>
          <w:rFonts w:ascii="Times New Roman" w:hAnsi="Times New Roman" w:cs="Times New Roman"/>
          <w:szCs w:val="24"/>
        </w:rPr>
        <w:t xml:space="preserve">.3 </w:t>
      </w:r>
      <w:r w:rsidR="00367921">
        <w:rPr>
          <w:rFonts w:ascii="Times New Roman" w:hAnsi="Times New Roman" w:cs="Times New Roman"/>
          <w:szCs w:val="24"/>
        </w:rPr>
        <w:t xml:space="preserve">    </w:t>
      </w:r>
      <w:r w:rsidR="005610C5" w:rsidRPr="00367921">
        <w:rPr>
          <w:rFonts w:ascii="Times New Roman" w:hAnsi="Times New Roman" w:cs="Times New Roman"/>
          <w:szCs w:val="24"/>
        </w:rPr>
        <w:t>Sprawozdanie końcowe</w:t>
      </w:r>
      <w:bookmarkEnd w:id="86"/>
      <w:bookmarkEnd w:id="87"/>
      <w:bookmarkEnd w:id="88"/>
      <w:bookmarkEnd w:id="89"/>
    </w:p>
    <w:p w14:paraId="6D92396A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37A70261" w14:textId="77777777" w:rsidR="00A36726" w:rsidRDefault="00F00C82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 xml:space="preserve">Sprawozdanie końcowe musi zawierać </w:t>
      </w:r>
      <w:r w:rsidR="00A36726">
        <w:rPr>
          <w:rFonts w:cs="Times New Roman"/>
          <w:szCs w:val="24"/>
        </w:rPr>
        <w:t xml:space="preserve">zarys realizacji projektu oraz sprawozdanie finansowe. </w:t>
      </w:r>
    </w:p>
    <w:p w14:paraId="2348293A" w14:textId="77777777" w:rsidR="00A36726" w:rsidRDefault="00A36726" w:rsidP="00367921">
      <w:pPr>
        <w:suppressAutoHyphens/>
        <w:spacing w:after="0"/>
        <w:rPr>
          <w:rFonts w:cs="Times New Roman"/>
          <w:szCs w:val="24"/>
        </w:rPr>
      </w:pPr>
    </w:p>
    <w:p w14:paraId="11648770" w14:textId="4FEB4535" w:rsidR="00A36726" w:rsidRDefault="00A36726" w:rsidP="00367921">
      <w:pPr>
        <w:suppressAutoHyphens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Ponadto sprawozdanie końcowe musi zawierać harmonogram każdego z wdrożonych działań w zakresie mobilności. </w:t>
      </w:r>
    </w:p>
    <w:p w14:paraId="01CB54BA" w14:textId="79015A62" w:rsidR="0050536B" w:rsidRDefault="00A36726" w:rsidP="00367921">
      <w:pPr>
        <w:widowControl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7D17B1" w:rsidRPr="00367921">
        <w:rPr>
          <w:rFonts w:cs="Times New Roman"/>
          <w:szCs w:val="24"/>
        </w:rPr>
        <w:t xml:space="preserve">gencja narodowa może </w:t>
      </w:r>
      <w:r w:rsidR="00D37F57">
        <w:rPr>
          <w:rFonts w:cs="Times New Roman"/>
          <w:szCs w:val="24"/>
        </w:rPr>
        <w:t>zażądać przedstawienia</w:t>
      </w:r>
      <w:r w:rsidR="007D17B1" w:rsidRPr="00367921">
        <w:rPr>
          <w:rFonts w:cs="Times New Roman"/>
          <w:szCs w:val="24"/>
        </w:rPr>
        <w:t xml:space="preserve"> dokumentów potwierdzających dla wszystkich kosztów, które beneficjent zadeklarował</w:t>
      </w:r>
      <w:r w:rsidR="00935652" w:rsidRPr="00367921">
        <w:rPr>
          <w:rFonts w:cs="Times New Roman"/>
          <w:szCs w:val="24"/>
        </w:rPr>
        <w:t xml:space="preserve"> w spr</w:t>
      </w:r>
      <w:r w:rsidR="007D17B1" w:rsidRPr="00367921">
        <w:rPr>
          <w:rFonts w:cs="Times New Roman"/>
          <w:szCs w:val="24"/>
        </w:rPr>
        <w:t>awozdaniu końcowym.</w:t>
      </w:r>
    </w:p>
    <w:p w14:paraId="4DC7F20E" w14:textId="77777777" w:rsidR="00367921" w:rsidRPr="00367921" w:rsidRDefault="00367921" w:rsidP="00367921">
      <w:pPr>
        <w:widowControl w:val="0"/>
        <w:spacing w:after="0"/>
        <w:rPr>
          <w:rFonts w:eastAsia="Calibri" w:cs="Times New Roman"/>
          <w:szCs w:val="24"/>
        </w:rPr>
      </w:pPr>
    </w:p>
    <w:p w14:paraId="4D2083D9" w14:textId="43F5597D" w:rsidR="00190A9F" w:rsidRPr="00367921" w:rsidRDefault="00A36726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0" w:name="_Toc117674755"/>
      <w:bookmarkStart w:id="91" w:name="_Toc117696686"/>
      <w:bookmarkStart w:id="92" w:name="_Toc122444439"/>
      <w:bookmarkStart w:id="93" w:name="_Toc158104991"/>
      <w:r>
        <w:rPr>
          <w:rFonts w:ascii="Times New Roman" w:hAnsi="Times New Roman" w:cs="Times New Roman"/>
          <w:szCs w:val="24"/>
        </w:rPr>
        <w:t>10</w:t>
      </w:r>
      <w:r w:rsidR="005610C5" w:rsidRPr="00367921">
        <w:rPr>
          <w:rFonts w:ascii="Times New Roman" w:hAnsi="Times New Roman" w:cs="Times New Roman"/>
          <w:szCs w:val="24"/>
        </w:rPr>
        <w:t xml:space="preserve">.4 </w:t>
      </w:r>
      <w:r w:rsidR="00367921">
        <w:rPr>
          <w:rFonts w:ascii="Times New Roman" w:hAnsi="Times New Roman" w:cs="Times New Roman"/>
          <w:szCs w:val="24"/>
        </w:rPr>
        <w:t xml:space="preserve">   </w:t>
      </w:r>
      <w:r w:rsidR="005610C5" w:rsidRPr="00367921">
        <w:rPr>
          <w:rFonts w:ascii="Times New Roman" w:hAnsi="Times New Roman" w:cs="Times New Roman"/>
          <w:szCs w:val="24"/>
        </w:rPr>
        <w:t>Ocena sprawozdania końcowego</w:t>
      </w:r>
      <w:bookmarkEnd w:id="90"/>
      <w:bookmarkEnd w:id="91"/>
      <w:bookmarkEnd w:id="92"/>
      <w:bookmarkEnd w:id="93"/>
    </w:p>
    <w:p w14:paraId="63F50FFE" w14:textId="77777777" w:rsidR="00367921" w:rsidRDefault="00367921" w:rsidP="00367921">
      <w:pPr>
        <w:widowControl w:val="0"/>
        <w:spacing w:after="0"/>
        <w:rPr>
          <w:rFonts w:cs="Times New Roman"/>
          <w:szCs w:val="24"/>
        </w:rPr>
      </w:pPr>
    </w:p>
    <w:p w14:paraId="50D41327" w14:textId="77777777" w:rsidR="00D37F57" w:rsidRDefault="004F74EF" w:rsidP="00367921">
      <w:pPr>
        <w:widowControl w:val="0"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 xml:space="preserve">Beneficjent musi przedłożyć sprawozdanie końcowe po dacie zakończenia projektu. </w:t>
      </w:r>
    </w:p>
    <w:p w14:paraId="2457B918" w14:textId="77777777" w:rsidR="00A87E7C" w:rsidRPr="00367921" w:rsidRDefault="00A87E7C" w:rsidP="00367921">
      <w:pPr>
        <w:suppressAutoHyphens/>
        <w:spacing w:after="0"/>
        <w:rPr>
          <w:rFonts w:cs="Times New Roman"/>
          <w:szCs w:val="24"/>
        </w:rPr>
      </w:pPr>
    </w:p>
    <w:p w14:paraId="433B3205" w14:textId="77777777" w:rsidR="00D37F57" w:rsidRDefault="00190A9F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Sprawozdanie końcowe zostanie ocenione wraz ze sprawozdaniami uczestników oraz innymi dokumentami projektowymi wymaganymi na mocy niniejszej umowy</w:t>
      </w:r>
      <w:r w:rsidR="00935652" w:rsidRPr="00367921">
        <w:rPr>
          <w:rFonts w:cs="Times New Roman"/>
          <w:szCs w:val="24"/>
        </w:rPr>
        <w:t xml:space="preserve"> o udz</w:t>
      </w:r>
      <w:r w:rsidRPr="00367921">
        <w:rPr>
          <w:rFonts w:cs="Times New Roman"/>
          <w:szCs w:val="24"/>
        </w:rPr>
        <w:t xml:space="preserve">ielenie dotacji oraz </w:t>
      </w:r>
      <w:r w:rsidR="006D7046" w:rsidRPr="00367921">
        <w:rPr>
          <w:rFonts w:cs="Times New Roman"/>
          <w:szCs w:val="24"/>
        </w:rPr>
        <w:t>standardów</w:t>
      </w:r>
      <w:r w:rsidRPr="00367921">
        <w:rPr>
          <w:rFonts w:cs="Times New Roman"/>
          <w:szCs w:val="24"/>
        </w:rPr>
        <w:t xml:space="preserve"> jakości Erasmus</w:t>
      </w:r>
      <w:r w:rsidR="007D4503" w:rsidRPr="00367921">
        <w:rPr>
          <w:rFonts w:cs="Times New Roman"/>
          <w:szCs w:val="24"/>
        </w:rPr>
        <w:t>a</w:t>
      </w:r>
      <w:r w:rsidRPr="00367921">
        <w:rPr>
          <w:rFonts w:cs="Times New Roman"/>
          <w:szCs w:val="24"/>
        </w:rPr>
        <w:t xml:space="preserve">. </w:t>
      </w:r>
    </w:p>
    <w:p w14:paraId="5940F779" w14:textId="77777777" w:rsidR="00D37F57" w:rsidRDefault="00D37F57" w:rsidP="00367921">
      <w:pPr>
        <w:suppressAutoHyphens/>
        <w:spacing w:after="0"/>
        <w:rPr>
          <w:rFonts w:cs="Times New Roman"/>
          <w:szCs w:val="24"/>
        </w:rPr>
      </w:pPr>
    </w:p>
    <w:p w14:paraId="049F8478" w14:textId="123A14E9" w:rsidR="00190A9F" w:rsidRDefault="00190A9F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Wynik oceny wynosi maksymalnie 100 punktów. Wspólny zestaw kryteriów oceny będzie stosowany do pomiaru zakresu,</w:t>
      </w:r>
      <w:r w:rsidR="00935652" w:rsidRPr="00367921">
        <w:rPr>
          <w:rFonts w:cs="Times New Roman"/>
          <w:szCs w:val="24"/>
        </w:rPr>
        <w:t xml:space="preserve"> w jak</w:t>
      </w:r>
      <w:r w:rsidRPr="00367921">
        <w:rPr>
          <w:rFonts w:cs="Times New Roman"/>
          <w:szCs w:val="24"/>
        </w:rPr>
        <w:t>im projekt został zrealizowany zgodnie</w:t>
      </w:r>
      <w:r w:rsidR="00935652" w:rsidRPr="00367921">
        <w:rPr>
          <w:rFonts w:cs="Times New Roman"/>
          <w:szCs w:val="24"/>
        </w:rPr>
        <w:t xml:space="preserve"> z zat</w:t>
      </w:r>
      <w:r w:rsidRPr="00367921">
        <w:rPr>
          <w:rFonts w:cs="Times New Roman"/>
          <w:szCs w:val="24"/>
        </w:rPr>
        <w:t>wierdzonym wnioskiem</w:t>
      </w:r>
      <w:r w:rsidR="00935652" w:rsidRPr="00367921">
        <w:rPr>
          <w:rFonts w:cs="Times New Roman"/>
          <w:szCs w:val="24"/>
        </w:rPr>
        <w:t xml:space="preserve"> o udz</w:t>
      </w:r>
      <w:r w:rsidRPr="00367921">
        <w:rPr>
          <w:rFonts w:cs="Times New Roman"/>
          <w:szCs w:val="24"/>
        </w:rPr>
        <w:t>ielenie dotacji</w:t>
      </w:r>
      <w:r w:rsidR="00935652" w:rsidRPr="00367921">
        <w:rPr>
          <w:rFonts w:cs="Times New Roman"/>
          <w:szCs w:val="24"/>
        </w:rPr>
        <w:t xml:space="preserve"> i sta</w:t>
      </w:r>
      <w:r w:rsidRPr="00367921">
        <w:rPr>
          <w:rFonts w:cs="Times New Roman"/>
          <w:szCs w:val="24"/>
        </w:rPr>
        <w:t>ndardami jakości Erasmus</w:t>
      </w:r>
      <w:r w:rsidR="007D4503" w:rsidRPr="00367921">
        <w:rPr>
          <w:rFonts w:cs="Times New Roman"/>
          <w:szCs w:val="24"/>
        </w:rPr>
        <w:t>a</w:t>
      </w:r>
      <w:r w:rsidRPr="00367921">
        <w:rPr>
          <w:rFonts w:cs="Times New Roman"/>
          <w:szCs w:val="24"/>
        </w:rPr>
        <w:t>.</w:t>
      </w:r>
    </w:p>
    <w:p w14:paraId="38F49A67" w14:textId="77777777" w:rsidR="00367921" w:rsidRPr="00367921" w:rsidRDefault="00367921" w:rsidP="00367921">
      <w:pPr>
        <w:suppressAutoHyphens/>
        <w:spacing w:after="0"/>
        <w:rPr>
          <w:rFonts w:eastAsia="Calibri" w:cs="Times New Roman"/>
          <w:szCs w:val="24"/>
        </w:rPr>
      </w:pPr>
    </w:p>
    <w:p w14:paraId="77F9C002" w14:textId="0F551E6E" w:rsidR="005610C5" w:rsidRPr="00367921" w:rsidRDefault="005610C5" w:rsidP="00367921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4" w:name="_Toc117674756"/>
      <w:bookmarkStart w:id="95" w:name="_Toc117696687"/>
      <w:bookmarkStart w:id="96" w:name="_Toc122444440"/>
      <w:bookmarkStart w:id="97" w:name="_Toc158104992"/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1</w:t>
      </w:r>
      <w:r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  </w:t>
      </w:r>
      <w:r w:rsidRPr="00367921">
        <w:rPr>
          <w:rFonts w:ascii="Times New Roman" w:hAnsi="Times New Roman" w:cs="Times New Roman"/>
          <w:szCs w:val="24"/>
        </w:rPr>
        <w:t>Należna kwota (</w:t>
      </w:r>
      <w:r w:rsidR="00367921" w:rsidRPr="00367921">
        <w:rPr>
          <w:rFonts w:ascii="Times New Roman" w:hAnsi="Times New Roman" w:cs="Times New Roman"/>
          <w:szCs w:val="24"/>
        </w:rPr>
        <w:t>—</w:t>
      </w:r>
      <w:r w:rsidR="00367921">
        <w:rPr>
          <w:rFonts w:ascii="Times New Roman" w:hAnsi="Times New Roman" w:cs="Times New Roman"/>
          <w:szCs w:val="24"/>
        </w:rPr>
        <w:t xml:space="preserve"> </w:t>
      </w:r>
      <w:r w:rsidRPr="00367921">
        <w:rPr>
          <w:rFonts w:ascii="Times New Roman" w:hAnsi="Times New Roman" w:cs="Times New Roman"/>
          <w:szCs w:val="24"/>
        </w:rPr>
        <w:t>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Pr="00367921">
        <w:rPr>
          <w:rFonts w:ascii="Times New Roman" w:hAnsi="Times New Roman" w:cs="Times New Roman"/>
          <w:szCs w:val="24"/>
        </w:rPr>
        <w:t>22.3)</w:t>
      </w:r>
      <w:bookmarkEnd w:id="94"/>
      <w:bookmarkEnd w:id="95"/>
      <w:bookmarkEnd w:id="96"/>
      <w:bookmarkEnd w:id="97"/>
    </w:p>
    <w:p w14:paraId="5734EFB6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3369C185" w14:textId="1AD4224F" w:rsidR="007B1F01" w:rsidRPr="00367921" w:rsidRDefault="526E9A2D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Jeśli</w:t>
      </w:r>
      <w:r w:rsidR="00935652" w:rsidRPr="00367921">
        <w:rPr>
          <w:rFonts w:cs="Times New Roman"/>
          <w:szCs w:val="24"/>
        </w:rPr>
        <w:t xml:space="preserve"> w ark</w:t>
      </w:r>
      <w:r w:rsidRPr="00367921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367921">
        <w:rPr>
          <w:rFonts w:cs="Times New Roman"/>
          <w:szCs w:val="24"/>
        </w:rPr>
        <w:t xml:space="preserve"> o nie</w:t>
      </w:r>
      <w:r w:rsidRPr="00367921">
        <w:rPr>
          <w:rFonts w:cs="Times New Roman"/>
          <w:szCs w:val="24"/>
        </w:rPr>
        <w:t>, bez zwracania się</w:t>
      </w:r>
      <w:r w:rsidR="00935652" w:rsidRPr="00367921">
        <w:rPr>
          <w:rFonts w:cs="Times New Roman"/>
          <w:szCs w:val="24"/>
        </w:rPr>
        <w:t xml:space="preserve"> o zmi</w:t>
      </w:r>
      <w:r w:rsidRPr="00367921">
        <w:rPr>
          <w:rFonts w:cs="Times New Roman"/>
          <w:szCs w:val="24"/>
        </w:rPr>
        <w:t>anę umowy</w:t>
      </w:r>
      <w:r w:rsidR="00935652" w:rsidRPr="00367921">
        <w:rPr>
          <w:rFonts w:cs="Times New Roman"/>
          <w:szCs w:val="24"/>
        </w:rPr>
        <w:t xml:space="preserve"> o udz</w:t>
      </w:r>
      <w:r w:rsidRPr="00367921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367921">
        <w:rPr>
          <w:rFonts w:cs="Times New Roman"/>
          <w:szCs w:val="24"/>
        </w:rPr>
        <w:t xml:space="preserve"> o któ</w:t>
      </w:r>
      <w:r w:rsidRPr="00367921">
        <w:rPr>
          <w:rFonts w:cs="Times New Roman"/>
          <w:szCs w:val="24"/>
        </w:rPr>
        <w:t xml:space="preserve">rą się wnioskuje, nie może przekroczyć </w:t>
      </w:r>
      <w:r w:rsidRPr="00367921">
        <w:rPr>
          <w:rFonts w:cs="Times New Roman"/>
          <w:szCs w:val="24"/>
          <w:highlight w:val="lightGray"/>
        </w:rPr>
        <w:t>[80] %</w:t>
      </w:r>
      <w:r w:rsidRPr="00367921">
        <w:rPr>
          <w:rFonts w:cs="Times New Roman"/>
          <w:szCs w:val="24"/>
        </w:rPr>
        <w:t xml:space="preserve"> maksymalnej kwoty dotacji określonej</w:t>
      </w:r>
      <w:r w:rsidR="00935652" w:rsidRPr="00367921">
        <w:rPr>
          <w:rFonts w:cs="Times New Roman"/>
          <w:szCs w:val="24"/>
        </w:rPr>
        <w:t xml:space="preserve"> w pkt </w:t>
      </w:r>
      <w:r w:rsidRPr="00367921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p w14:paraId="355DEF77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37D18F10" w14:textId="0E2ED2E9" w:rsidR="007B1F01" w:rsidRPr="00367921" w:rsidRDefault="007B1F0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Beneficjent musi zapewnić kwalifikowalność działań podejmowanych</w:t>
      </w:r>
      <w:r w:rsidR="00935652" w:rsidRPr="00367921">
        <w:rPr>
          <w:rFonts w:cs="Times New Roman"/>
          <w:szCs w:val="24"/>
        </w:rPr>
        <w:t xml:space="preserve"> w ram</w:t>
      </w:r>
      <w:r w:rsidRPr="00367921">
        <w:rPr>
          <w:rFonts w:cs="Times New Roman"/>
          <w:szCs w:val="24"/>
        </w:rPr>
        <w:t>ach projektu, na które przyznano dotację, zgodnie</w:t>
      </w:r>
      <w:r w:rsidR="00935652" w:rsidRPr="00367921">
        <w:rPr>
          <w:rFonts w:cs="Times New Roman"/>
          <w:szCs w:val="24"/>
        </w:rPr>
        <w:t xml:space="preserve"> z zas</w:t>
      </w:r>
      <w:r w:rsidRPr="00367921">
        <w:rPr>
          <w:rFonts w:cs="Times New Roman"/>
          <w:szCs w:val="24"/>
        </w:rPr>
        <w:t>adami określonymi</w:t>
      </w:r>
      <w:r w:rsidR="00935652" w:rsidRPr="00367921">
        <w:rPr>
          <w:rFonts w:cs="Times New Roman"/>
          <w:szCs w:val="24"/>
        </w:rPr>
        <w:t xml:space="preserve"> w prz</w:t>
      </w:r>
      <w:r w:rsidRPr="00367921">
        <w:rPr>
          <w:rFonts w:cs="Times New Roman"/>
          <w:szCs w:val="24"/>
        </w:rPr>
        <w:t>ewodniku po programie Erasmus+</w:t>
      </w:r>
      <w:r w:rsidR="00935652" w:rsidRPr="00367921">
        <w:rPr>
          <w:rFonts w:cs="Times New Roman"/>
          <w:szCs w:val="24"/>
        </w:rPr>
        <w:t xml:space="preserve"> i nin</w:t>
      </w:r>
      <w:r w:rsidRPr="00367921">
        <w:rPr>
          <w:rFonts w:cs="Times New Roman"/>
          <w:szCs w:val="24"/>
        </w:rPr>
        <w:t xml:space="preserve">iejszą umową. </w:t>
      </w:r>
    </w:p>
    <w:p w14:paraId="12043980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05414B46" w14:textId="5BF22B0B" w:rsidR="00260514" w:rsidRPr="00367921" w:rsidRDefault="007B1F0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 xml:space="preserve">Agencja narodowa uzna wszelkie działania </w:t>
      </w:r>
      <w:r w:rsidR="00D37F57">
        <w:rPr>
          <w:rFonts w:cs="Times New Roman"/>
          <w:szCs w:val="24"/>
        </w:rPr>
        <w:t xml:space="preserve">lub koszty </w:t>
      </w:r>
      <w:r w:rsidRPr="00367921">
        <w:rPr>
          <w:rFonts w:cs="Times New Roman"/>
          <w:szCs w:val="24"/>
        </w:rPr>
        <w:t>niezgodne</w:t>
      </w:r>
      <w:r w:rsidR="00935652" w:rsidRPr="00367921">
        <w:rPr>
          <w:rFonts w:cs="Times New Roman"/>
          <w:szCs w:val="24"/>
        </w:rPr>
        <w:t xml:space="preserve"> z zas</w:t>
      </w:r>
      <w:r w:rsidRPr="00367921">
        <w:rPr>
          <w:rFonts w:cs="Times New Roman"/>
          <w:szCs w:val="24"/>
        </w:rPr>
        <w:t>adami określonymi</w:t>
      </w:r>
      <w:r w:rsidR="00935652" w:rsidRPr="00367921">
        <w:rPr>
          <w:rFonts w:cs="Times New Roman"/>
          <w:szCs w:val="24"/>
        </w:rPr>
        <w:t xml:space="preserve"> w prz</w:t>
      </w:r>
      <w:r w:rsidRPr="00367921">
        <w:rPr>
          <w:rFonts w:cs="Times New Roman"/>
          <w:szCs w:val="24"/>
        </w:rPr>
        <w:t>ewodniku po programie Erasmus+, uzupełnionymi postanowieniami określonymi</w:t>
      </w:r>
      <w:r w:rsidR="00935652" w:rsidRPr="00367921">
        <w:rPr>
          <w:rFonts w:cs="Times New Roman"/>
          <w:szCs w:val="24"/>
        </w:rPr>
        <w:t xml:space="preserve"> w nin</w:t>
      </w:r>
      <w:r w:rsidRPr="00367921">
        <w:rPr>
          <w:rFonts w:cs="Times New Roman"/>
          <w:szCs w:val="24"/>
        </w:rPr>
        <w:t xml:space="preserve">iejszej umowie, za niekwalifikowalne. </w:t>
      </w:r>
      <w:r w:rsidR="00D37F57">
        <w:rPr>
          <w:rFonts w:cs="Times New Roman"/>
          <w:szCs w:val="24"/>
        </w:rPr>
        <w:t>Kwoty dotacji odpowiadające tym działaniom i kosztom zostaną odzyskane w całości.</w:t>
      </w:r>
    </w:p>
    <w:p w14:paraId="7F589B09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1BF0C2B1" w14:textId="77777777" w:rsidR="00367921" w:rsidRPr="00367921" w:rsidRDefault="00367921" w:rsidP="00367921">
      <w:pPr>
        <w:suppressAutoHyphens/>
        <w:spacing w:after="0"/>
        <w:rPr>
          <w:rFonts w:eastAsia="Calibri" w:cs="Times New Roman"/>
          <w:szCs w:val="24"/>
        </w:rPr>
      </w:pPr>
    </w:p>
    <w:p w14:paraId="5E62B307" w14:textId="59E80FEF" w:rsidR="00A467FA" w:rsidRPr="00367921" w:rsidRDefault="00656EED" w:rsidP="00367921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8" w:name="_Toc117591138"/>
      <w:bookmarkStart w:id="99" w:name="_Toc117674757"/>
      <w:bookmarkStart w:id="100" w:name="_Toc117696688"/>
      <w:bookmarkStart w:id="101" w:name="_Toc122444441"/>
      <w:bookmarkStart w:id="102" w:name="_Toc158104993"/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2</w:t>
      </w:r>
      <w:r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  </w:t>
      </w:r>
      <w:r w:rsidRPr="00367921">
        <w:rPr>
          <w:rFonts w:ascii="Times New Roman" w:hAnsi="Times New Roman" w:cs="Times New Roman"/>
          <w:szCs w:val="24"/>
        </w:rPr>
        <w:t>Kontrole, przeglądy, audyty</w:t>
      </w:r>
      <w:r w:rsidR="00935652" w:rsidRPr="00367921">
        <w:rPr>
          <w:rFonts w:ascii="Times New Roman" w:hAnsi="Times New Roman" w:cs="Times New Roman"/>
          <w:szCs w:val="24"/>
        </w:rPr>
        <w:t xml:space="preserve"> i doc</w:t>
      </w:r>
      <w:r w:rsidRPr="00367921">
        <w:rPr>
          <w:rFonts w:ascii="Times New Roman" w:hAnsi="Times New Roman" w:cs="Times New Roman"/>
          <w:szCs w:val="24"/>
        </w:rPr>
        <w:t>hodzenia (</w:t>
      </w:r>
      <w:r w:rsidR="00367921" w:rsidRPr="00367921">
        <w:rPr>
          <w:rFonts w:ascii="Times New Roman" w:hAnsi="Times New Roman" w:cs="Times New Roman"/>
          <w:szCs w:val="24"/>
        </w:rPr>
        <w:t>—</w:t>
      </w:r>
      <w:r w:rsidRPr="00367921">
        <w:rPr>
          <w:rFonts w:ascii="Times New Roman" w:hAnsi="Times New Roman" w:cs="Times New Roman"/>
          <w:szCs w:val="24"/>
        </w:rPr>
        <w:t xml:space="preserve"> 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Pr="00367921">
        <w:rPr>
          <w:rFonts w:ascii="Times New Roman" w:hAnsi="Times New Roman" w:cs="Times New Roman"/>
          <w:szCs w:val="24"/>
        </w:rPr>
        <w:t>25)</w:t>
      </w:r>
      <w:bookmarkEnd w:id="98"/>
      <w:bookmarkEnd w:id="99"/>
      <w:bookmarkEnd w:id="100"/>
      <w:bookmarkEnd w:id="101"/>
      <w:bookmarkEnd w:id="102"/>
    </w:p>
    <w:p w14:paraId="37F78CE8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1A7FB359" w14:textId="7E69B2A6" w:rsidR="00AA2C61" w:rsidRPr="00367921" w:rsidRDefault="00AA2C6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Do celów art.</w:t>
      </w:r>
      <w:r w:rsidR="00935652" w:rsidRPr="00367921">
        <w:rPr>
          <w:rFonts w:cs="Times New Roman"/>
          <w:szCs w:val="24"/>
        </w:rPr>
        <w:t> </w:t>
      </w:r>
      <w:r w:rsidRPr="00367921">
        <w:rPr>
          <w:rFonts w:cs="Times New Roman"/>
          <w:szCs w:val="24"/>
        </w:rPr>
        <w:t>21</w:t>
      </w:r>
      <w:r w:rsidR="00935652" w:rsidRPr="00367921">
        <w:rPr>
          <w:rFonts w:cs="Times New Roman"/>
          <w:szCs w:val="24"/>
        </w:rPr>
        <w:t xml:space="preserve"> i 2</w:t>
      </w:r>
      <w:r w:rsidRPr="00367921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367921">
        <w:rPr>
          <w:rFonts w:cs="Times New Roman"/>
          <w:szCs w:val="24"/>
        </w:rPr>
        <w:t xml:space="preserve"> w zał</w:t>
      </w:r>
      <w:r w:rsidRPr="00367921">
        <w:rPr>
          <w:rFonts w:cs="Times New Roman"/>
          <w:szCs w:val="24"/>
        </w:rPr>
        <w:t>ączniku 2, chyba że agencja narodowa zwróci się</w:t>
      </w:r>
      <w:r w:rsidR="00935652" w:rsidRPr="00367921">
        <w:rPr>
          <w:rFonts w:cs="Times New Roman"/>
          <w:szCs w:val="24"/>
        </w:rPr>
        <w:t xml:space="preserve"> o prz</w:t>
      </w:r>
      <w:r w:rsidRPr="00367921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367921">
        <w:rPr>
          <w:rFonts w:cs="Times New Roman"/>
          <w:szCs w:val="24"/>
        </w:rPr>
        <w:t xml:space="preserve"> z obo</w:t>
      </w:r>
      <w:r w:rsidRPr="00367921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16D8477A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30101A40" w14:textId="478FED02" w:rsidR="00AA2C61" w:rsidRDefault="006F34CC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 xml:space="preserve">Projekt może być poddany </w:t>
      </w:r>
      <w:r w:rsidR="00D37F57">
        <w:rPr>
          <w:rFonts w:cs="Times New Roman"/>
          <w:szCs w:val="24"/>
        </w:rPr>
        <w:t xml:space="preserve">kontrolom wewnętrznym i przeglądom projektów w formie </w:t>
      </w:r>
      <w:r w:rsidRPr="00367921">
        <w:rPr>
          <w:rFonts w:cs="Times New Roman"/>
          <w:szCs w:val="24"/>
        </w:rPr>
        <w:t>kontroli dokumentacji, kontroli na miejscu</w:t>
      </w:r>
      <w:r w:rsidR="00935652" w:rsidRPr="00367921">
        <w:rPr>
          <w:rFonts w:cs="Times New Roman"/>
          <w:szCs w:val="24"/>
        </w:rPr>
        <w:t xml:space="preserve"> i kon</w:t>
      </w:r>
      <w:r w:rsidRPr="00367921">
        <w:rPr>
          <w:rFonts w:cs="Times New Roman"/>
          <w:szCs w:val="24"/>
        </w:rPr>
        <w:t>troli systemów</w:t>
      </w:r>
      <w:r w:rsidR="00935652" w:rsidRPr="00367921">
        <w:rPr>
          <w:rFonts w:cs="Times New Roman"/>
          <w:szCs w:val="24"/>
        </w:rPr>
        <w:t>. W tym</w:t>
      </w:r>
      <w:r w:rsidRPr="00367921">
        <w:rPr>
          <w:rFonts w:cs="Times New Roman"/>
          <w:szCs w:val="24"/>
        </w:rPr>
        <w:t xml:space="preserve"> kontekście agencja narodowa może zwrócić się do beneficjenta</w:t>
      </w:r>
      <w:r w:rsidR="00935652" w:rsidRPr="00367921">
        <w:rPr>
          <w:rFonts w:cs="Times New Roman"/>
          <w:szCs w:val="24"/>
        </w:rPr>
        <w:t xml:space="preserve"> o dos</w:t>
      </w:r>
      <w:r w:rsidRPr="00367921">
        <w:rPr>
          <w:rFonts w:cs="Times New Roman"/>
          <w:szCs w:val="24"/>
        </w:rPr>
        <w:t>tarczenie dodatkowych dokumentów potwierdzających lub dowodów, innych niż te wymienione</w:t>
      </w:r>
      <w:r w:rsidR="00935652" w:rsidRPr="00367921">
        <w:rPr>
          <w:rFonts w:cs="Times New Roman"/>
          <w:szCs w:val="24"/>
        </w:rPr>
        <w:t xml:space="preserve"> w zał</w:t>
      </w:r>
      <w:r w:rsidRPr="00367921">
        <w:rPr>
          <w:rFonts w:cs="Times New Roman"/>
          <w:szCs w:val="24"/>
        </w:rPr>
        <w:t>ączniku 2, które są zwykle wymagane do celów przeprowadzenia kontroli danego rodzaju.</w:t>
      </w:r>
    </w:p>
    <w:p w14:paraId="666A34C9" w14:textId="77777777" w:rsidR="00D37F57" w:rsidRDefault="00D37F57" w:rsidP="00367921">
      <w:pPr>
        <w:suppressAutoHyphens/>
        <w:spacing w:after="0"/>
        <w:rPr>
          <w:rFonts w:cs="Times New Roman"/>
          <w:szCs w:val="24"/>
        </w:rPr>
      </w:pPr>
    </w:p>
    <w:p w14:paraId="19769280" w14:textId="77777777" w:rsidR="00D37F57" w:rsidRPr="00D37F57" w:rsidRDefault="00D37F57" w:rsidP="00D37F57">
      <w:pPr>
        <w:suppressAutoHyphens/>
        <w:spacing w:line="276" w:lineRule="auto"/>
        <w:rPr>
          <w:rFonts w:eastAsia="Calibri" w:cs="Arial"/>
          <w:szCs w:val="24"/>
        </w:rPr>
      </w:pPr>
      <w:r w:rsidRPr="00D37F57">
        <w:rPr>
          <w:rFonts w:eastAsia="Calibri" w:cs="Arial"/>
        </w:rPr>
        <w:lastRenderedPageBreak/>
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</w:r>
    </w:p>
    <w:p w14:paraId="25873F29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3" w:name="_Toc117674758"/>
      <w:bookmarkStart w:id="104" w:name="_Toc117696689"/>
      <w:bookmarkStart w:id="105" w:name="_Toc122444442"/>
      <w:bookmarkStart w:id="106" w:name="_Toc158104994"/>
    </w:p>
    <w:p w14:paraId="177E5F71" w14:textId="66991202" w:rsidR="00AA2C61" w:rsidRPr="00367921" w:rsidRDefault="0052446B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2</w:t>
      </w:r>
      <w:r w:rsidRPr="00367921">
        <w:rPr>
          <w:rFonts w:ascii="Times New Roman" w:hAnsi="Times New Roman" w:cs="Times New Roman"/>
          <w:szCs w:val="24"/>
        </w:rPr>
        <w:t xml:space="preserve">.1 </w:t>
      </w:r>
      <w:r w:rsidR="00367921">
        <w:rPr>
          <w:rFonts w:ascii="Times New Roman" w:hAnsi="Times New Roman" w:cs="Times New Roman"/>
          <w:szCs w:val="24"/>
        </w:rPr>
        <w:t xml:space="preserve">  </w:t>
      </w:r>
      <w:r w:rsidRPr="00367921">
        <w:rPr>
          <w:rFonts w:ascii="Times New Roman" w:hAnsi="Times New Roman" w:cs="Times New Roman"/>
          <w:szCs w:val="24"/>
        </w:rPr>
        <w:t>Kontrola dokumentacji</w:t>
      </w:r>
      <w:bookmarkEnd w:id="103"/>
      <w:bookmarkEnd w:id="104"/>
      <w:bookmarkEnd w:id="105"/>
      <w:bookmarkEnd w:id="106"/>
    </w:p>
    <w:p w14:paraId="11B3B1CA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79F92176" w14:textId="508ECF4E" w:rsidR="00AA2C61" w:rsidRPr="00367921" w:rsidRDefault="00AA2C6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367921">
        <w:rPr>
          <w:rFonts w:cs="Times New Roman"/>
          <w:szCs w:val="24"/>
        </w:rPr>
        <w:t xml:space="preserve"> w sie</w:t>
      </w:r>
      <w:r w:rsidRPr="00367921">
        <w:rPr>
          <w:rFonts w:cs="Times New Roman"/>
          <w:szCs w:val="24"/>
        </w:rPr>
        <w:t xml:space="preserve">dzibie agencji </w:t>
      </w:r>
      <w:r w:rsidR="006D7046" w:rsidRPr="00367921">
        <w:rPr>
          <w:rFonts w:cs="Times New Roman"/>
          <w:szCs w:val="24"/>
        </w:rPr>
        <w:t>narodowej na</w:t>
      </w:r>
      <w:r w:rsidRPr="00367921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0023FA2B" w14:textId="77777777" w:rsidR="00367921" w:rsidRDefault="00367921" w:rsidP="00367921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7" w:name="_Toc117674759"/>
      <w:bookmarkStart w:id="108" w:name="_Toc117696690"/>
      <w:bookmarkStart w:id="109" w:name="_Toc122444443"/>
      <w:bookmarkStart w:id="110" w:name="_Toc158104995"/>
    </w:p>
    <w:p w14:paraId="54BF595B" w14:textId="1E5FC259" w:rsidR="00AA2C61" w:rsidRPr="00367921" w:rsidRDefault="0052446B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367921">
        <w:rPr>
          <w:rFonts w:ascii="Times New Roman" w:hAnsi="Times New Roman" w:cs="Times New Roman"/>
          <w:szCs w:val="24"/>
        </w:rPr>
        <w:t>1</w:t>
      </w:r>
      <w:r w:rsidR="00D37F57">
        <w:rPr>
          <w:rFonts w:ascii="Times New Roman" w:hAnsi="Times New Roman" w:cs="Times New Roman"/>
          <w:szCs w:val="24"/>
        </w:rPr>
        <w:t>2</w:t>
      </w:r>
      <w:r w:rsidRPr="00367921">
        <w:rPr>
          <w:rFonts w:ascii="Times New Roman" w:hAnsi="Times New Roman" w:cs="Times New Roman"/>
          <w:szCs w:val="24"/>
        </w:rPr>
        <w:t xml:space="preserve">.2 </w:t>
      </w:r>
      <w:r w:rsidR="00367921">
        <w:rPr>
          <w:rFonts w:ascii="Times New Roman" w:hAnsi="Times New Roman" w:cs="Times New Roman"/>
          <w:szCs w:val="24"/>
        </w:rPr>
        <w:t xml:space="preserve">  </w:t>
      </w:r>
      <w:r w:rsidRPr="00367921">
        <w:rPr>
          <w:rFonts w:ascii="Times New Roman" w:hAnsi="Times New Roman" w:cs="Times New Roman"/>
          <w:szCs w:val="24"/>
        </w:rPr>
        <w:t>Kontrole na miejscu</w:t>
      </w:r>
      <w:bookmarkEnd w:id="107"/>
      <w:bookmarkEnd w:id="108"/>
      <w:bookmarkEnd w:id="109"/>
      <w:bookmarkEnd w:id="110"/>
    </w:p>
    <w:p w14:paraId="782F4474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4BD3DD36" w14:textId="7F40E8C8" w:rsidR="00AA2C61" w:rsidRPr="00367921" w:rsidRDefault="00AA2C61" w:rsidP="00367921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367921">
        <w:rPr>
          <w:rFonts w:cs="Times New Roman"/>
          <w:szCs w:val="24"/>
        </w:rPr>
        <w:t>Agencja narodowa przeprowadza kontrole na miejscu</w:t>
      </w:r>
      <w:r w:rsidR="00935652" w:rsidRPr="00367921">
        <w:rPr>
          <w:rFonts w:cs="Times New Roman"/>
          <w:szCs w:val="24"/>
        </w:rPr>
        <w:t xml:space="preserve"> w sie</w:t>
      </w:r>
      <w:r w:rsidRPr="00367921">
        <w:rPr>
          <w:rFonts w:cs="Times New Roman"/>
          <w:szCs w:val="24"/>
        </w:rPr>
        <w:t>dzibie beneficjenta lub</w:t>
      </w:r>
      <w:r w:rsidR="00935652" w:rsidRPr="00367921">
        <w:rPr>
          <w:rFonts w:cs="Times New Roman"/>
          <w:szCs w:val="24"/>
        </w:rPr>
        <w:t xml:space="preserve"> w dow</w:t>
      </w:r>
      <w:r w:rsidRPr="00367921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367921">
        <w:rPr>
          <w:rFonts w:cs="Times New Roman"/>
          <w:szCs w:val="24"/>
        </w:rPr>
        <w:t xml:space="preserve"> w odn</w:t>
      </w:r>
      <w:r w:rsidRPr="00367921">
        <w:rPr>
          <w:rFonts w:cs="Times New Roman"/>
          <w:szCs w:val="24"/>
        </w:rPr>
        <w:t>iesieniu do wszystkich kategorii budżetu</w:t>
      </w:r>
      <w:r w:rsidR="00935652" w:rsidRPr="00367921">
        <w:rPr>
          <w:rFonts w:cs="Times New Roman"/>
          <w:szCs w:val="24"/>
        </w:rPr>
        <w:t xml:space="preserve"> i zap</w:t>
      </w:r>
      <w:r w:rsidRPr="00367921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367921">
        <w:rPr>
          <w:rFonts w:cs="Times New Roman"/>
          <w:szCs w:val="24"/>
        </w:rPr>
        <w:t xml:space="preserve"> o wyd</w:t>
      </w:r>
      <w:r w:rsidRPr="00367921">
        <w:rPr>
          <w:rFonts w:cs="Times New Roman"/>
          <w:szCs w:val="24"/>
        </w:rPr>
        <w:t>atkach poniesionych na realizację projektu.</w:t>
      </w:r>
    </w:p>
    <w:p w14:paraId="438B1222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19DA42B3" w14:textId="216890E3" w:rsidR="00AA2C61" w:rsidRPr="00367921" w:rsidRDefault="00AA2C61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Kontrole na miejscu mogą przybrać następującą formę:</w:t>
      </w:r>
    </w:p>
    <w:p w14:paraId="7B38E4B8" w14:textId="546495E0" w:rsidR="00F70243" w:rsidRPr="00367921" w:rsidRDefault="00AA2C61" w:rsidP="00367921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367921">
        <w:rPr>
          <w:b/>
          <w:szCs w:val="24"/>
        </w:rPr>
        <w:t>kontrola na miejscu</w:t>
      </w:r>
      <w:r w:rsidR="00935652" w:rsidRPr="00367921">
        <w:rPr>
          <w:b/>
          <w:szCs w:val="24"/>
        </w:rPr>
        <w:t xml:space="preserve"> w tra</w:t>
      </w:r>
      <w:r w:rsidRPr="00367921">
        <w:rPr>
          <w:b/>
          <w:szCs w:val="24"/>
        </w:rPr>
        <w:t>kcie realizacji projektu</w:t>
      </w:r>
      <w:r w:rsidRPr="00367921">
        <w:rPr>
          <w:szCs w:val="24"/>
        </w:rPr>
        <w:t>: tego rodzaju kontrolę przeprowadza się</w:t>
      </w:r>
      <w:r w:rsidR="00935652" w:rsidRPr="00367921">
        <w:rPr>
          <w:szCs w:val="24"/>
        </w:rPr>
        <w:t xml:space="preserve"> w tra</w:t>
      </w:r>
      <w:r w:rsidRPr="00367921">
        <w:rPr>
          <w:szCs w:val="24"/>
        </w:rPr>
        <w:t>kcie realizacji projektu, aby umożliwić agencji narodowej bezpośrednie zbadanie sytuacji</w:t>
      </w:r>
      <w:r w:rsidR="00935652" w:rsidRPr="00367921">
        <w:rPr>
          <w:szCs w:val="24"/>
        </w:rPr>
        <w:t xml:space="preserve"> i oce</w:t>
      </w:r>
      <w:r w:rsidRPr="00367921">
        <w:rPr>
          <w:szCs w:val="24"/>
        </w:rPr>
        <w:t>nę kwalifikowalności wszystkich podejmowanych</w:t>
      </w:r>
      <w:r w:rsidR="00935652" w:rsidRPr="00367921">
        <w:rPr>
          <w:szCs w:val="24"/>
        </w:rPr>
        <w:t xml:space="preserve"> w ram</w:t>
      </w:r>
      <w:r w:rsidRPr="00367921">
        <w:rPr>
          <w:szCs w:val="24"/>
        </w:rPr>
        <w:t>ach projektu działań</w:t>
      </w:r>
      <w:r w:rsidR="00935652" w:rsidRPr="00367921">
        <w:rPr>
          <w:szCs w:val="24"/>
        </w:rPr>
        <w:t xml:space="preserve"> i wsz</w:t>
      </w:r>
      <w:r w:rsidRPr="00367921">
        <w:rPr>
          <w:szCs w:val="24"/>
        </w:rPr>
        <w:t>ystkich uczestników projektu;</w:t>
      </w:r>
    </w:p>
    <w:p w14:paraId="07E153B7" w14:textId="34D219EA" w:rsidR="00AA2C61" w:rsidRPr="00367921" w:rsidRDefault="00AA2C61" w:rsidP="00367921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367921">
        <w:rPr>
          <w:b/>
          <w:szCs w:val="24"/>
        </w:rPr>
        <w:t>kontrola na miejscu po zakończeniu projektu</w:t>
      </w:r>
      <w:r w:rsidRPr="00367921">
        <w:rPr>
          <w:szCs w:val="24"/>
        </w:rPr>
        <w:t>: tego rodzaju kontrolę przeprowadza się po zakończeniu projektu, zazwyczaj po przeprowadzeniu kontroli sprawozdania końcowego.</w:t>
      </w:r>
    </w:p>
    <w:p w14:paraId="3A11F73A" w14:textId="77777777" w:rsidR="00367921" w:rsidRPr="00367921" w:rsidRDefault="00367921" w:rsidP="00367921">
      <w:pPr>
        <w:pStyle w:val="Akapitzlist"/>
        <w:suppressAutoHyphens/>
        <w:spacing w:after="0"/>
        <w:rPr>
          <w:rFonts w:eastAsia="Calibri"/>
          <w:szCs w:val="24"/>
        </w:rPr>
      </w:pPr>
    </w:p>
    <w:p w14:paraId="633FA5CE" w14:textId="6E1902AB" w:rsidR="00AA2C61" w:rsidRPr="00367921" w:rsidRDefault="0052446B" w:rsidP="00367921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11" w:name="_Toc117674760"/>
      <w:bookmarkStart w:id="112" w:name="_Toc117696691"/>
      <w:bookmarkStart w:id="113" w:name="_Toc122444444"/>
      <w:bookmarkStart w:id="114" w:name="_Toc158104996"/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2</w:t>
      </w:r>
      <w:r w:rsidRPr="00367921">
        <w:rPr>
          <w:rFonts w:ascii="Times New Roman" w:hAnsi="Times New Roman" w:cs="Times New Roman"/>
          <w:szCs w:val="24"/>
        </w:rPr>
        <w:t xml:space="preserve">.3 </w:t>
      </w:r>
      <w:r w:rsidR="00367921">
        <w:rPr>
          <w:rFonts w:ascii="Times New Roman" w:hAnsi="Times New Roman" w:cs="Times New Roman"/>
          <w:szCs w:val="24"/>
        </w:rPr>
        <w:t xml:space="preserve">  </w:t>
      </w:r>
      <w:r w:rsidRPr="00367921">
        <w:rPr>
          <w:rFonts w:ascii="Times New Roman" w:hAnsi="Times New Roman" w:cs="Times New Roman"/>
          <w:szCs w:val="24"/>
        </w:rPr>
        <w:t>Kontrola systemów</w:t>
      </w:r>
      <w:bookmarkEnd w:id="111"/>
      <w:bookmarkEnd w:id="112"/>
      <w:bookmarkEnd w:id="113"/>
      <w:bookmarkEnd w:id="114"/>
    </w:p>
    <w:p w14:paraId="491A2BA3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1BC8BF08" w14:textId="70973515" w:rsidR="00AA2C61" w:rsidRPr="00367921" w:rsidRDefault="00AA2C61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367921">
        <w:rPr>
          <w:rFonts w:cs="Times New Roman"/>
          <w:szCs w:val="24"/>
        </w:rPr>
        <w:t xml:space="preserve"> o dot</w:t>
      </w:r>
      <w:r w:rsidRPr="00367921">
        <w:rPr>
          <w:rFonts w:cs="Times New Roman"/>
          <w:szCs w:val="24"/>
        </w:rPr>
        <w:t>ację</w:t>
      </w:r>
      <w:r w:rsidR="00935652" w:rsidRPr="00367921">
        <w:rPr>
          <w:rFonts w:cs="Times New Roman"/>
          <w:szCs w:val="24"/>
        </w:rPr>
        <w:t xml:space="preserve"> w kon</w:t>
      </w:r>
      <w:r w:rsidRPr="00367921">
        <w:rPr>
          <w:rFonts w:cs="Times New Roman"/>
          <w:szCs w:val="24"/>
        </w:rPr>
        <w:t>tekście programu, jak również aby ocenić wywiązywanie się przez niego</w:t>
      </w:r>
      <w:r w:rsidR="00935652" w:rsidRPr="00367921">
        <w:rPr>
          <w:rFonts w:cs="Times New Roman"/>
          <w:szCs w:val="24"/>
        </w:rPr>
        <w:t xml:space="preserve"> z zob</w:t>
      </w:r>
      <w:r w:rsidRPr="00367921">
        <w:rPr>
          <w:rFonts w:cs="Times New Roman"/>
          <w:szCs w:val="24"/>
        </w:rPr>
        <w:t>owiązań podjętych</w:t>
      </w:r>
      <w:r w:rsidR="00935652" w:rsidRPr="00367921">
        <w:rPr>
          <w:rFonts w:cs="Times New Roman"/>
          <w:szCs w:val="24"/>
        </w:rPr>
        <w:t xml:space="preserve"> w wyn</w:t>
      </w:r>
      <w:r w:rsidRPr="00367921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367921">
        <w:rPr>
          <w:rFonts w:cs="Times New Roman"/>
          <w:szCs w:val="24"/>
        </w:rPr>
        <w:t xml:space="preserve"> z nor</w:t>
      </w:r>
      <w:r w:rsidRPr="00367921">
        <w:rPr>
          <w:rFonts w:cs="Times New Roman"/>
          <w:szCs w:val="24"/>
        </w:rPr>
        <w:t>m realizacji, do których zobowiązał się</w:t>
      </w:r>
      <w:r w:rsidR="00935652" w:rsidRPr="00367921">
        <w:rPr>
          <w:rFonts w:cs="Times New Roman"/>
          <w:szCs w:val="24"/>
        </w:rPr>
        <w:t xml:space="preserve"> w ram</w:t>
      </w:r>
      <w:r w:rsidRPr="00367921">
        <w:rPr>
          <w:rFonts w:cs="Times New Roman"/>
          <w:szCs w:val="24"/>
        </w:rPr>
        <w:t xml:space="preserve">ach programu Erasmus+. </w:t>
      </w:r>
    </w:p>
    <w:p w14:paraId="0E5810F5" w14:textId="77777777" w:rsidR="00A87E7C" w:rsidRDefault="00A87E7C" w:rsidP="00367921">
      <w:pPr>
        <w:spacing w:after="0"/>
        <w:rPr>
          <w:rFonts w:cs="Times New Roman"/>
          <w:szCs w:val="24"/>
        </w:rPr>
      </w:pPr>
    </w:p>
    <w:p w14:paraId="4A15B3C9" w14:textId="77777777" w:rsidR="00367921" w:rsidRPr="00367921" w:rsidRDefault="00367921" w:rsidP="00367921">
      <w:pPr>
        <w:spacing w:after="0"/>
        <w:rPr>
          <w:rFonts w:cs="Times New Roman"/>
          <w:szCs w:val="24"/>
        </w:rPr>
      </w:pPr>
    </w:p>
    <w:p w14:paraId="1B2A0BC3" w14:textId="73DC549F" w:rsidR="00A467FA" w:rsidRPr="00367921" w:rsidRDefault="00656EED" w:rsidP="00367921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15" w:name="_Toc117591139"/>
      <w:bookmarkStart w:id="116" w:name="_Toc117674761"/>
      <w:bookmarkStart w:id="117" w:name="_Toc117696692"/>
      <w:bookmarkStart w:id="118" w:name="_Toc122444445"/>
      <w:bookmarkStart w:id="119" w:name="_Toc158104997"/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3</w:t>
      </w:r>
      <w:r w:rsidRPr="00367921">
        <w:rPr>
          <w:rFonts w:ascii="Times New Roman" w:hAnsi="Times New Roman" w:cs="Times New Roman"/>
          <w:szCs w:val="24"/>
        </w:rPr>
        <w:t xml:space="preserve">. </w:t>
      </w:r>
      <w:r w:rsidR="00367921">
        <w:rPr>
          <w:rFonts w:ascii="Times New Roman" w:hAnsi="Times New Roman" w:cs="Times New Roman"/>
          <w:szCs w:val="24"/>
        </w:rPr>
        <w:t xml:space="preserve">   </w:t>
      </w:r>
      <w:r w:rsidRPr="00367921">
        <w:rPr>
          <w:rFonts w:ascii="Times New Roman" w:hAnsi="Times New Roman" w:cs="Times New Roman"/>
          <w:szCs w:val="24"/>
        </w:rPr>
        <w:t>Zmniejszenie dotacji (— 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Pr="00367921">
        <w:rPr>
          <w:rFonts w:ascii="Times New Roman" w:hAnsi="Times New Roman" w:cs="Times New Roman"/>
          <w:szCs w:val="24"/>
        </w:rPr>
        <w:t>28)</w:t>
      </w:r>
      <w:bookmarkEnd w:id="115"/>
      <w:bookmarkEnd w:id="116"/>
      <w:bookmarkEnd w:id="117"/>
      <w:bookmarkEnd w:id="118"/>
      <w:bookmarkEnd w:id="119"/>
      <w:r w:rsidRPr="00367921">
        <w:rPr>
          <w:rFonts w:ascii="Times New Roman" w:hAnsi="Times New Roman" w:cs="Times New Roman"/>
          <w:szCs w:val="24"/>
        </w:rPr>
        <w:t xml:space="preserve"> </w:t>
      </w:r>
    </w:p>
    <w:p w14:paraId="12DD31A1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08C4FC8F" w14:textId="44F1FF55" w:rsidR="00735442" w:rsidRPr="00367921" w:rsidRDefault="00735442" w:rsidP="00367921">
      <w:pPr>
        <w:suppressAutoHyphens/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367921">
        <w:rPr>
          <w:rFonts w:cs="Times New Roman"/>
          <w:szCs w:val="24"/>
        </w:rPr>
        <w:t xml:space="preserve"> w opa</w:t>
      </w:r>
      <w:r w:rsidRPr="00367921">
        <w:rPr>
          <w:rFonts w:cs="Times New Roman"/>
          <w:szCs w:val="24"/>
        </w:rPr>
        <w:t>rciu</w:t>
      </w:r>
      <w:r w:rsidR="00935652" w:rsidRPr="00367921">
        <w:rPr>
          <w:rFonts w:cs="Times New Roman"/>
          <w:szCs w:val="24"/>
        </w:rPr>
        <w:t xml:space="preserve"> o spr</w:t>
      </w:r>
      <w:r w:rsidRPr="00367921">
        <w:rPr>
          <w:rFonts w:cs="Times New Roman"/>
          <w:szCs w:val="24"/>
        </w:rPr>
        <w:t>awozdanie końcowe przekazane przez beneficjenta lub inne istotne źródła,</w:t>
      </w:r>
      <w:r w:rsidR="00935652" w:rsidRPr="00367921">
        <w:rPr>
          <w:rFonts w:cs="Times New Roman"/>
          <w:szCs w:val="24"/>
        </w:rPr>
        <w:t xml:space="preserve"> w tym</w:t>
      </w:r>
      <w:r w:rsidRPr="00367921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159804AF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  <w:bookmarkStart w:id="120" w:name="_Hlk153884034"/>
    </w:p>
    <w:p w14:paraId="0819B286" w14:textId="7AEE59C0" w:rsidR="00735442" w:rsidRDefault="00C2665B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Zgodnie</w:t>
      </w:r>
      <w:r w:rsidR="00935652" w:rsidRPr="00367921">
        <w:rPr>
          <w:rFonts w:cs="Times New Roman"/>
          <w:szCs w:val="24"/>
        </w:rPr>
        <w:t xml:space="preserve"> z pro</w:t>
      </w:r>
      <w:r w:rsidRPr="00367921">
        <w:rPr>
          <w:rFonts w:cs="Times New Roman"/>
          <w:szCs w:val="24"/>
        </w:rPr>
        <w:t>cedurą oceny punktowej sprawozdania końcowego, opisaną</w:t>
      </w:r>
      <w:r w:rsidR="00935652" w:rsidRPr="00367921">
        <w:rPr>
          <w:rFonts w:cs="Times New Roman"/>
          <w:szCs w:val="24"/>
        </w:rPr>
        <w:t xml:space="preserve"> w art</w:t>
      </w:r>
      <w:r w:rsidRPr="00367921">
        <w:rPr>
          <w:rFonts w:cs="Times New Roman"/>
          <w:szCs w:val="24"/>
        </w:rPr>
        <w:t>.</w:t>
      </w:r>
      <w:r w:rsidR="00935652" w:rsidRPr="00367921">
        <w:rPr>
          <w:rFonts w:cs="Times New Roman"/>
          <w:szCs w:val="24"/>
        </w:rPr>
        <w:t> </w:t>
      </w:r>
      <w:r w:rsidRPr="00367921">
        <w:rPr>
          <w:rFonts w:cs="Times New Roman"/>
          <w:szCs w:val="24"/>
        </w:rPr>
        <w:t xml:space="preserve">9.4 załącznika 5, agencja narodowa może </w:t>
      </w:r>
      <w:r w:rsidR="00D37F57">
        <w:rPr>
          <w:rFonts w:cs="Times New Roman"/>
          <w:szCs w:val="24"/>
        </w:rPr>
        <w:t>obniżyć</w:t>
      </w:r>
      <w:r w:rsidR="00D37F57" w:rsidRPr="00367921">
        <w:rPr>
          <w:rFonts w:cs="Times New Roman"/>
          <w:szCs w:val="24"/>
        </w:rPr>
        <w:t xml:space="preserve"> </w:t>
      </w:r>
      <w:r w:rsidRPr="00367921">
        <w:rPr>
          <w:rFonts w:cs="Times New Roman"/>
          <w:szCs w:val="24"/>
        </w:rPr>
        <w:t>ostateczną kwotę dotacji na</w:t>
      </w:r>
      <w:r w:rsidR="00D37F57">
        <w:rPr>
          <w:rFonts w:cs="Times New Roman"/>
          <w:szCs w:val="24"/>
        </w:rPr>
        <w:t xml:space="preserve"> koszty zarządzania projektem</w:t>
      </w:r>
      <w:r w:rsidRPr="00367921">
        <w:rPr>
          <w:rFonts w:cs="Times New Roman"/>
          <w:szCs w:val="24"/>
        </w:rPr>
        <w:t xml:space="preserve"> wsparcie organizacyjne</w:t>
      </w:r>
      <w:r w:rsidR="00A87E7C" w:rsidRPr="00367921">
        <w:rPr>
          <w:rFonts w:cs="Times New Roman"/>
          <w:szCs w:val="24"/>
        </w:rPr>
        <w:t>,</w:t>
      </w:r>
      <w:r w:rsidRPr="00367921">
        <w:rPr>
          <w:rFonts w:cs="Times New Roman"/>
          <w:szCs w:val="24"/>
        </w:rPr>
        <w:t xml:space="preserve"> koszty zarządzania projektem o:</w:t>
      </w:r>
    </w:p>
    <w:p w14:paraId="2F2E5727" w14:textId="77777777" w:rsidR="00D37F57" w:rsidRPr="00367921" w:rsidRDefault="00D37F57" w:rsidP="00367921">
      <w:pPr>
        <w:suppressAutoHyphens/>
        <w:spacing w:after="0"/>
        <w:rPr>
          <w:rFonts w:eastAsia="Calibri" w:cs="Times New Roman"/>
          <w:szCs w:val="24"/>
        </w:rPr>
      </w:pPr>
    </w:p>
    <w:p w14:paraId="0F6F0EF6" w14:textId="07F94A41" w:rsidR="00F70243" w:rsidRPr="00367921" w:rsidRDefault="00735442" w:rsidP="0036792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367921">
        <w:rPr>
          <w:szCs w:val="24"/>
        </w:rPr>
        <w:t>10 %, jeżeli</w:t>
      </w:r>
      <w:r w:rsidR="00935652" w:rsidRPr="00367921">
        <w:rPr>
          <w:szCs w:val="24"/>
        </w:rPr>
        <w:t xml:space="preserve"> w rez</w:t>
      </w:r>
      <w:r w:rsidRPr="00367921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367921" w:rsidRDefault="00735442" w:rsidP="0036792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367921">
        <w:rPr>
          <w:szCs w:val="24"/>
        </w:rPr>
        <w:t>25 %, jeżeli</w:t>
      </w:r>
      <w:r w:rsidR="00935652" w:rsidRPr="00367921">
        <w:rPr>
          <w:szCs w:val="24"/>
        </w:rPr>
        <w:t xml:space="preserve"> w rez</w:t>
      </w:r>
      <w:r w:rsidRPr="00367921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367921" w:rsidRDefault="00735442" w:rsidP="0036792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367921">
        <w:rPr>
          <w:szCs w:val="24"/>
        </w:rPr>
        <w:t>50 %, jeżeli</w:t>
      </w:r>
      <w:r w:rsidR="00935652" w:rsidRPr="00367921">
        <w:rPr>
          <w:szCs w:val="24"/>
        </w:rPr>
        <w:t xml:space="preserve"> w rez</w:t>
      </w:r>
      <w:r w:rsidRPr="00367921">
        <w:rPr>
          <w:szCs w:val="24"/>
        </w:rPr>
        <w:t>ultacie przeprowadzenia oceny sprawozdaniu końcowemu przyznano co najmniej 25 punktów, ale mniej niż 40 punktów;</w:t>
      </w:r>
    </w:p>
    <w:p w14:paraId="4C132D18" w14:textId="77777777" w:rsidR="00D37F57" w:rsidRPr="00D37F57" w:rsidRDefault="00735442" w:rsidP="00367921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367921">
        <w:rPr>
          <w:szCs w:val="24"/>
        </w:rPr>
        <w:t>75 %, jeżeli</w:t>
      </w:r>
      <w:r w:rsidR="00935652" w:rsidRPr="00367921">
        <w:rPr>
          <w:szCs w:val="24"/>
        </w:rPr>
        <w:t xml:space="preserve"> w rez</w:t>
      </w:r>
      <w:r w:rsidRPr="00367921">
        <w:rPr>
          <w:szCs w:val="24"/>
        </w:rPr>
        <w:t xml:space="preserve">ultacie przeprowadzenia oceny sprawozdaniu końcowemu przyznano </w:t>
      </w:r>
      <w:r w:rsidR="00D37F57">
        <w:rPr>
          <w:szCs w:val="24"/>
        </w:rPr>
        <w:t xml:space="preserve">co najmniej 15 punktów , ale </w:t>
      </w:r>
      <w:r w:rsidRPr="00367921">
        <w:rPr>
          <w:szCs w:val="24"/>
        </w:rPr>
        <w:t>mniej niż 25 punktów</w:t>
      </w:r>
      <w:r w:rsidR="00D37F57">
        <w:rPr>
          <w:szCs w:val="24"/>
        </w:rPr>
        <w:t>;</w:t>
      </w:r>
    </w:p>
    <w:p w14:paraId="21D837B0" w14:textId="77777777" w:rsidR="00D37F57" w:rsidRPr="00D37F57" w:rsidRDefault="00D37F57" w:rsidP="00D37F57">
      <w:pPr>
        <w:pStyle w:val="Akapitzlist"/>
        <w:numPr>
          <w:ilvl w:val="0"/>
          <w:numId w:val="69"/>
        </w:numPr>
        <w:rPr>
          <w:szCs w:val="24"/>
        </w:rPr>
      </w:pPr>
      <w:r w:rsidRPr="00D37F57">
        <w:rPr>
          <w:szCs w:val="24"/>
        </w:rPr>
        <w:t>100 %, jeżeli w rezultacie przeprowadzenia oceny sprawozdaniu końcowemu przyznano mniej niż 15 punktów.</w:t>
      </w:r>
    </w:p>
    <w:bookmarkEnd w:id="120"/>
    <w:p w14:paraId="6A540588" w14:textId="77777777" w:rsidR="00367921" w:rsidRDefault="00367921" w:rsidP="00D37F57">
      <w:pPr>
        <w:pStyle w:val="Akapitzlist"/>
        <w:suppressAutoHyphens/>
        <w:spacing w:after="0"/>
        <w:rPr>
          <w:szCs w:val="24"/>
        </w:rPr>
      </w:pPr>
    </w:p>
    <w:p w14:paraId="4AE48194" w14:textId="4DB6ABCF" w:rsidR="00735442" w:rsidRPr="00367921" w:rsidRDefault="00735442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 xml:space="preserve">Ponadto agencja narodowa może obniżyć ostateczną kwotę dotacji na </w:t>
      </w:r>
      <w:r w:rsidR="00D37F57">
        <w:rPr>
          <w:rFonts w:cs="Times New Roman"/>
          <w:szCs w:val="24"/>
        </w:rPr>
        <w:t xml:space="preserve">koszty zarządzania projektem </w:t>
      </w:r>
      <w:r w:rsidRPr="00367921">
        <w:rPr>
          <w:rFonts w:cs="Times New Roman"/>
          <w:szCs w:val="24"/>
        </w:rPr>
        <w:t>lub wsparcie na pokrycie opłat za udział</w:t>
      </w:r>
      <w:r w:rsidR="00935652" w:rsidRPr="00367921">
        <w:rPr>
          <w:rFonts w:cs="Times New Roman"/>
          <w:szCs w:val="24"/>
        </w:rPr>
        <w:t xml:space="preserve"> w kur</w:t>
      </w:r>
      <w:r w:rsidRPr="00367921">
        <w:rPr>
          <w:rFonts w:cs="Times New Roman"/>
          <w:szCs w:val="24"/>
        </w:rPr>
        <w:t>sach</w:t>
      </w:r>
      <w:r w:rsidR="00935652" w:rsidRPr="00367921">
        <w:rPr>
          <w:rFonts w:cs="Times New Roman"/>
          <w:szCs w:val="24"/>
        </w:rPr>
        <w:t xml:space="preserve"> o kwo</w:t>
      </w:r>
      <w:r w:rsidRPr="00367921">
        <w:rPr>
          <w:rFonts w:cs="Times New Roman"/>
          <w:szCs w:val="24"/>
        </w:rPr>
        <w:t>tę wynoszącą do</w:t>
      </w:r>
      <w:r w:rsidR="00935652" w:rsidRPr="00367921">
        <w:rPr>
          <w:rFonts w:cs="Times New Roman"/>
          <w:szCs w:val="24"/>
        </w:rPr>
        <w:t> </w:t>
      </w:r>
      <w:r w:rsidRPr="00367921">
        <w:rPr>
          <w:rFonts w:cs="Times New Roman"/>
          <w:szCs w:val="24"/>
        </w:rPr>
        <w:t>100 % dotacji</w:t>
      </w:r>
      <w:r w:rsidR="00935652" w:rsidRPr="00367921">
        <w:rPr>
          <w:rFonts w:cs="Times New Roman"/>
          <w:szCs w:val="24"/>
        </w:rPr>
        <w:t xml:space="preserve"> w prz</w:t>
      </w:r>
      <w:r w:rsidRPr="00367921">
        <w:rPr>
          <w:rFonts w:cs="Times New Roman"/>
          <w:szCs w:val="24"/>
        </w:rPr>
        <w:t>ypadku, gdy ocena sprawozdania końcowego czy inne istotne źródło wymienione powyżej wykaże, że standardy jakości Erasmus</w:t>
      </w:r>
      <w:r w:rsidR="007D4503" w:rsidRPr="00367921">
        <w:rPr>
          <w:rFonts w:cs="Times New Roman"/>
          <w:szCs w:val="24"/>
        </w:rPr>
        <w:t>a</w:t>
      </w:r>
      <w:r w:rsidRPr="00367921">
        <w:rPr>
          <w:rFonts w:cs="Times New Roman"/>
          <w:szCs w:val="24"/>
        </w:rPr>
        <w:t xml:space="preserve"> lub wymogi jakościowe określone</w:t>
      </w:r>
      <w:r w:rsidR="00935652" w:rsidRPr="00367921">
        <w:rPr>
          <w:rFonts w:cs="Times New Roman"/>
          <w:szCs w:val="24"/>
        </w:rPr>
        <w:t xml:space="preserve"> w prz</w:t>
      </w:r>
      <w:r w:rsidRPr="00367921">
        <w:rPr>
          <w:rFonts w:cs="Times New Roman"/>
          <w:szCs w:val="24"/>
        </w:rPr>
        <w:t>ewodniku po programie nie są przestrzegane. Zastosowane zmniejszenie jest proporcjonalne do wagi</w:t>
      </w:r>
      <w:r w:rsidR="00935652" w:rsidRPr="00367921">
        <w:rPr>
          <w:rFonts w:cs="Times New Roman"/>
          <w:szCs w:val="24"/>
        </w:rPr>
        <w:t xml:space="preserve"> i wpł</w:t>
      </w:r>
      <w:r w:rsidRPr="00367921">
        <w:rPr>
          <w:rFonts w:cs="Times New Roman"/>
          <w:szCs w:val="24"/>
        </w:rPr>
        <w:t>ywu zidentyfikowanych kwestii.</w:t>
      </w:r>
    </w:p>
    <w:p w14:paraId="178AB40B" w14:textId="77777777" w:rsidR="00A87E7C" w:rsidRDefault="00A87E7C" w:rsidP="00367921">
      <w:pPr>
        <w:suppressAutoHyphens/>
        <w:spacing w:after="0"/>
        <w:rPr>
          <w:rFonts w:eastAsia="Calibri" w:cs="Times New Roman"/>
          <w:szCs w:val="24"/>
        </w:rPr>
      </w:pPr>
    </w:p>
    <w:p w14:paraId="1CDC9208" w14:textId="77777777" w:rsidR="00D37F57" w:rsidRPr="00D37F57" w:rsidDel="00735442" w:rsidRDefault="00D37F57" w:rsidP="00D37F57">
      <w:pPr>
        <w:suppressAutoHyphens/>
        <w:spacing w:line="276" w:lineRule="auto"/>
        <w:rPr>
          <w:rFonts w:eastAsia="Calibri" w:cs="Times New Roman"/>
        </w:rPr>
      </w:pPr>
      <w:r w:rsidRPr="00D37F57">
        <w:rPr>
          <w:rFonts w:eastAsia="Calibri" w:cs="Arial"/>
        </w:rPr>
        <w:t>W przypadku zastosowania zmniejszenia dotacji z powodu niedostatecznej, częściowej lub spóźnionej realizacji działań, zmniejszenie będzie miało zastosowanie do maksymalnej przyznanej kwoty lub do zgłoszonej ostatecznej kwoty przyznanej dotacji.</w:t>
      </w:r>
    </w:p>
    <w:p w14:paraId="2606425E" w14:textId="77777777" w:rsidR="00367921" w:rsidRPr="00367921" w:rsidDel="00735442" w:rsidRDefault="00367921" w:rsidP="00367921">
      <w:pPr>
        <w:suppressAutoHyphens/>
        <w:spacing w:after="0"/>
        <w:rPr>
          <w:rFonts w:eastAsia="Calibri" w:cs="Times New Roman"/>
          <w:szCs w:val="24"/>
        </w:rPr>
      </w:pPr>
    </w:p>
    <w:p w14:paraId="5D774582" w14:textId="73EA07C7" w:rsidR="002521E3" w:rsidRPr="00367921" w:rsidRDefault="00656EED" w:rsidP="007F064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21" w:name="_Toc117591140"/>
      <w:bookmarkStart w:id="122" w:name="_Toc117674762"/>
      <w:bookmarkStart w:id="123" w:name="_Toc117696693"/>
      <w:bookmarkStart w:id="124" w:name="_Toc122444446"/>
      <w:bookmarkStart w:id="125" w:name="_Toc158104998"/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4</w:t>
      </w:r>
      <w:r w:rsidRPr="00367921">
        <w:rPr>
          <w:rFonts w:ascii="Times New Roman" w:hAnsi="Times New Roman" w:cs="Times New Roman"/>
          <w:szCs w:val="24"/>
        </w:rPr>
        <w:t xml:space="preserve">. </w:t>
      </w:r>
      <w:r w:rsidR="007F0640">
        <w:rPr>
          <w:rFonts w:ascii="Times New Roman" w:hAnsi="Times New Roman" w:cs="Times New Roman"/>
          <w:szCs w:val="24"/>
        </w:rPr>
        <w:t xml:space="preserve">   </w:t>
      </w:r>
      <w:r w:rsidRPr="00367921">
        <w:rPr>
          <w:rFonts w:ascii="Times New Roman" w:hAnsi="Times New Roman" w:cs="Times New Roman"/>
          <w:szCs w:val="24"/>
        </w:rPr>
        <w:t>Komunikacja między stronami (— art.</w:t>
      </w:r>
      <w:r w:rsidR="00935652" w:rsidRPr="00367921">
        <w:rPr>
          <w:rFonts w:ascii="Times New Roman" w:hAnsi="Times New Roman" w:cs="Times New Roman"/>
          <w:szCs w:val="24"/>
        </w:rPr>
        <w:t> </w:t>
      </w:r>
      <w:r w:rsidRPr="00367921">
        <w:rPr>
          <w:rFonts w:ascii="Times New Roman" w:hAnsi="Times New Roman" w:cs="Times New Roman"/>
          <w:szCs w:val="24"/>
        </w:rPr>
        <w:t>36)</w:t>
      </w:r>
      <w:bookmarkEnd w:id="121"/>
      <w:bookmarkEnd w:id="122"/>
      <w:bookmarkEnd w:id="123"/>
      <w:bookmarkEnd w:id="124"/>
      <w:bookmarkEnd w:id="125"/>
    </w:p>
    <w:p w14:paraId="28A0FD09" w14:textId="77777777" w:rsidR="00367921" w:rsidRDefault="00367921" w:rsidP="00367921">
      <w:pPr>
        <w:spacing w:after="0"/>
        <w:rPr>
          <w:rFonts w:cs="Times New Roman"/>
          <w:szCs w:val="24"/>
        </w:rPr>
      </w:pPr>
    </w:p>
    <w:p w14:paraId="2D54ABB0" w14:textId="592CD981" w:rsidR="002521E3" w:rsidRPr="00367921" w:rsidRDefault="002521E3" w:rsidP="00367921">
      <w:pPr>
        <w:spacing w:after="0"/>
        <w:rPr>
          <w:rFonts w:eastAsia="Times New Roman" w:cs="Times New Roman"/>
          <w:szCs w:val="24"/>
        </w:rPr>
      </w:pPr>
      <w:r w:rsidRPr="00367921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367921">
        <w:rPr>
          <w:rFonts w:cs="Times New Roman"/>
          <w:szCs w:val="24"/>
        </w:rPr>
        <w:t xml:space="preserve"> w</w:t>
      </w:r>
      <w:r w:rsidR="007D4503" w:rsidRPr="00367921">
        <w:rPr>
          <w:rFonts w:cs="Times New Roman"/>
          <w:szCs w:val="24"/>
        </w:rPr>
        <w:t>e Wstępie</w:t>
      </w:r>
      <w:r w:rsidRPr="00367921">
        <w:rPr>
          <w:rFonts w:cs="Times New Roman"/>
          <w:szCs w:val="24"/>
        </w:rPr>
        <w:t xml:space="preserve">. </w:t>
      </w:r>
    </w:p>
    <w:p w14:paraId="78DBE47F" w14:textId="0BDCBB36" w:rsidR="002521E3" w:rsidRPr="00367921" w:rsidRDefault="002521E3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367921">
        <w:rPr>
          <w:rFonts w:cs="Times New Roman"/>
          <w:szCs w:val="24"/>
        </w:rPr>
        <w:t xml:space="preserve"> w</w:t>
      </w:r>
      <w:r w:rsidR="007D4503" w:rsidRPr="00367921">
        <w:rPr>
          <w:rFonts w:cs="Times New Roman"/>
          <w:szCs w:val="24"/>
        </w:rPr>
        <w:t>e Wstępie</w:t>
      </w:r>
      <w:r w:rsidRPr="00367921">
        <w:rPr>
          <w:rFonts w:cs="Times New Roman"/>
          <w:szCs w:val="24"/>
        </w:rPr>
        <w:t>.</w:t>
      </w:r>
    </w:p>
    <w:p w14:paraId="3FE3764B" w14:textId="77777777" w:rsidR="00A87E7C" w:rsidRDefault="00A87E7C" w:rsidP="00367921">
      <w:pPr>
        <w:spacing w:after="0"/>
        <w:rPr>
          <w:rFonts w:eastAsia="Times New Roman" w:cs="Times New Roman"/>
          <w:szCs w:val="24"/>
        </w:rPr>
      </w:pPr>
    </w:p>
    <w:p w14:paraId="0CCD88F0" w14:textId="77777777" w:rsidR="00367921" w:rsidRPr="00367921" w:rsidRDefault="00367921" w:rsidP="00367921">
      <w:pPr>
        <w:spacing w:after="0"/>
        <w:rPr>
          <w:rFonts w:eastAsia="Times New Roman" w:cs="Times New Roman"/>
          <w:szCs w:val="24"/>
        </w:rPr>
      </w:pPr>
    </w:p>
    <w:p w14:paraId="7A4FF706" w14:textId="07F36569" w:rsidR="006F6044" w:rsidRPr="00367921" w:rsidRDefault="00656EED" w:rsidP="007F064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26" w:name="_Toc117591141"/>
      <w:bookmarkStart w:id="127" w:name="_Toc117674763"/>
      <w:bookmarkStart w:id="128" w:name="_Toc117696694"/>
      <w:bookmarkStart w:id="129" w:name="_Toc122444447"/>
      <w:bookmarkStart w:id="130" w:name="_Toc158104999"/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5</w:t>
      </w:r>
      <w:r w:rsidRPr="00367921">
        <w:rPr>
          <w:rFonts w:ascii="Times New Roman" w:hAnsi="Times New Roman" w:cs="Times New Roman"/>
          <w:szCs w:val="24"/>
        </w:rPr>
        <w:t xml:space="preserve">. </w:t>
      </w:r>
      <w:r w:rsidR="007F0640">
        <w:rPr>
          <w:rFonts w:ascii="Times New Roman" w:hAnsi="Times New Roman" w:cs="Times New Roman"/>
          <w:szCs w:val="24"/>
        </w:rPr>
        <w:t xml:space="preserve">   </w:t>
      </w:r>
      <w:r w:rsidRPr="00367921">
        <w:rPr>
          <w:rFonts w:ascii="Times New Roman" w:hAnsi="Times New Roman" w:cs="Times New Roman"/>
          <w:szCs w:val="24"/>
        </w:rPr>
        <w:t>Monitorowanie</w:t>
      </w:r>
      <w:r w:rsidR="00935652" w:rsidRPr="00367921">
        <w:rPr>
          <w:rFonts w:ascii="Times New Roman" w:hAnsi="Times New Roman" w:cs="Times New Roman"/>
          <w:szCs w:val="24"/>
        </w:rPr>
        <w:t xml:space="preserve"> i oce</w:t>
      </w:r>
      <w:r w:rsidRPr="00367921">
        <w:rPr>
          <w:rFonts w:ascii="Times New Roman" w:hAnsi="Times New Roman" w:cs="Times New Roman"/>
          <w:szCs w:val="24"/>
        </w:rPr>
        <w:t>na akredytacji</w:t>
      </w:r>
      <w:bookmarkEnd w:id="126"/>
      <w:bookmarkEnd w:id="127"/>
      <w:bookmarkEnd w:id="128"/>
      <w:bookmarkEnd w:id="129"/>
      <w:bookmarkEnd w:id="130"/>
    </w:p>
    <w:p w14:paraId="2E8E3D89" w14:textId="77777777" w:rsidR="00367921" w:rsidRDefault="00367921" w:rsidP="00367921">
      <w:pPr>
        <w:suppressAutoHyphens/>
        <w:spacing w:after="0"/>
        <w:rPr>
          <w:rFonts w:cs="Times New Roman"/>
          <w:szCs w:val="24"/>
        </w:rPr>
      </w:pPr>
    </w:p>
    <w:p w14:paraId="7F4CFB6C" w14:textId="61FC7E82" w:rsidR="00960CB4" w:rsidRPr="00367921" w:rsidRDefault="00716F49" w:rsidP="00367921">
      <w:pPr>
        <w:suppressAutoHyphens/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Nie dotyczy.</w:t>
      </w:r>
    </w:p>
    <w:p w14:paraId="74D9C8E2" w14:textId="77777777" w:rsidR="00367921" w:rsidRDefault="00367921" w:rsidP="0036792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1" w:name="_Toc117591142"/>
      <w:bookmarkStart w:id="132" w:name="_Toc117674764"/>
      <w:bookmarkStart w:id="133" w:name="_Toc117696695"/>
      <w:bookmarkStart w:id="134" w:name="_Toc122444448"/>
      <w:bookmarkStart w:id="135" w:name="_Toc158105000"/>
    </w:p>
    <w:p w14:paraId="1E0F6133" w14:textId="60A03E3E" w:rsidR="00626F11" w:rsidRPr="00A36726" w:rsidRDefault="00656EED" w:rsidP="007F064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A36726">
        <w:rPr>
          <w:rFonts w:ascii="Times New Roman" w:hAnsi="Times New Roman" w:cs="Times New Roman"/>
          <w:szCs w:val="24"/>
          <w:lang w:val="en-US"/>
        </w:rPr>
        <w:t>1</w:t>
      </w:r>
      <w:r w:rsidR="00A36726">
        <w:rPr>
          <w:rFonts w:ascii="Times New Roman" w:hAnsi="Times New Roman" w:cs="Times New Roman"/>
          <w:szCs w:val="24"/>
          <w:lang w:val="en-US"/>
        </w:rPr>
        <w:t>6</w:t>
      </w:r>
      <w:r w:rsidRPr="00A36726">
        <w:rPr>
          <w:rFonts w:ascii="Times New Roman" w:hAnsi="Times New Roman" w:cs="Times New Roman"/>
          <w:szCs w:val="24"/>
          <w:lang w:val="en-US"/>
        </w:rPr>
        <w:t xml:space="preserve">. </w:t>
      </w:r>
      <w:r w:rsidR="007F0640" w:rsidRPr="00A36726">
        <w:rPr>
          <w:rFonts w:ascii="Times New Roman" w:hAnsi="Times New Roman" w:cs="Times New Roman"/>
          <w:szCs w:val="24"/>
          <w:lang w:val="en-US"/>
        </w:rPr>
        <w:t xml:space="preserve">   </w:t>
      </w:r>
      <w:r w:rsidRPr="00A36726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131"/>
      <w:bookmarkEnd w:id="132"/>
      <w:bookmarkEnd w:id="133"/>
      <w:bookmarkEnd w:id="134"/>
      <w:bookmarkEnd w:id="135"/>
      <w:r w:rsidRPr="00A36726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1123380E" w14:textId="77777777" w:rsidR="007F0640" w:rsidRPr="00A36726" w:rsidRDefault="007F0640" w:rsidP="00367921">
      <w:pPr>
        <w:spacing w:after="0"/>
        <w:rPr>
          <w:rFonts w:cs="Times New Roman"/>
          <w:szCs w:val="24"/>
          <w:lang w:val="en-US"/>
        </w:rPr>
      </w:pPr>
    </w:p>
    <w:p w14:paraId="0B71F6CA" w14:textId="6F6502A4" w:rsidR="00C1288E" w:rsidRPr="00367921" w:rsidRDefault="00C1288E" w:rsidP="00367921">
      <w:pPr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>Beneficjent musi promować, monitorować</w:t>
      </w:r>
      <w:r w:rsidR="00935652" w:rsidRPr="00367921">
        <w:rPr>
          <w:rFonts w:cs="Times New Roman"/>
          <w:szCs w:val="24"/>
        </w:rPr>
        <w:t xml:space="preserve"> i wsp</w:t>
      </w:r>
      <w:r w:rsidRPr="00367921">
        <w:rPr>
          <w:rFonts w:cs="Times New Roman"/>
          <w:szCs w:val="24"/>
        </w:rPr>
        <w:t>ierać korzystanie</w:t>
      </w:r>
      <w:r w:rsidR="00935652" w:rsidRPr="00367921">
        <w:rPr>
          <w:rFonts w:cs="Times New Roman"/>
          <w:szCs w:val="24"/>
        </w:rPr>
        <w:t xml:space="preserve"> z kur</w:t>
      </w:r>
      <w:r w:rsidRPr="00367921">
        <w:rPr>
          <w:rFonts w:cs="Times New Roman"/>
          <w:szCs w:val="24"/>
        </w:rPr>
        <w:t>sów językowych na platformie OLS.</w:t>
      </w:r>
    </w:p>
    <w:p w14:paraId="5F70327B" w14:textId="77777777" w:rsidR="007F0640" w:rsidRDefault="007F0640" w:rsidP="00367921">
      <w:pPr>
        <w:spacing w:after="0"/>
        <w:rPr>
          <w:rFonts w:cs="Times New Roman"/>
          <w:szCs w:val="24"/>
        </w:rPr>
      </w:pPr>
    </w:p>
    <w:p w14:paraId="7961AEB9" w14:textId="0F2A28E9" w:rsidR="00626F11" w:rsidRPr="00367921" w:rsidRDefault="00C1288E" w:rsidP="00367921">
      <w:pPr>
        <w:spacing w:after="0"/>
        <w:rPr>
          <w:rFonts w:eastAsia="Calibri" w:cs="Times New Roman"/>
          <w:szCs w:val="24"/>
        </w:rPr>
      </w:pPr>
      <w:r w:rsidRPr="00367921">
        <w:rPr>
          <w:rFonts w:cs="Times New Roman"/>
          <w:szCs w:val="24"/>
        </w:rPr>
        <w:t xml:space="preserve">Beneficjent musi monitorować wykorzystanie dostępów do OLS przez uczestników na podstawie informacji przekazywanych za pomocą odpowiednich narzędzi zarządzania oraz </w:t>
      </w:r>
      <w:r w:rsidRPr="00367921">
        <w:rPr>
          <w:rFonts w:cs="Times New Roman"/>
          <w:szCs w:val="24"/>
        </w:rPr>
        <w:lastRenderedPageBreak/>
        <w:t>zgłosić</w:t>
      </w:r>
      <w:r w:rsidR="00935652" w:rsidRPr="00367921">
        <w:rPr>
          <w:rFonts w:cs="Times New Roman"/>
          <w:szCs w:val="24"/>
        </w:rPr>
        <w:t xml:space="preserve"> w spr</w:t>
      </w:r>
      <w:r w:rsidRPr="00367921">
        <w:rPr>
          <w:rFonts w:cs="Times New Roman"/>
          <w:szCs w:val="24"/>
        </w:rPr>
        <w:t>awozdaniu końcowym liczbę wykorzystanych dostępów do oceny znajomości języka</w:t>
      </w:r>
      <w:r w:rsidR="00935652" w:rsidRPr="00367921">
        <w:rPr>
          <w:rFonts w:cs="Times New Roman"/>
          <w:szCs w:val="24"/>
        </w:rPr>
        <w:t xml:space="preserve"> i kur</w:t>
      </w:r>
      <w:r w:rsidRPr="00367921">
        <w:rPr>
          <w:rFonts w:cs="Times New Roman"/>
          <w:szCs w:val="24"/>
        </w:rPr>
        <w:t>sów,</w:t>
      </w:r>
      <w:r w:rsidR="00935652" w:rsidRPr="00367921">
        <w:rPr>
          <w:rFonts w:cs="Times New Roman"/>
          <w:szCs w:val="24"/>
        </w:rPr>
        <w:t xml:space="preserve"> o ile</w:t>
      </w:r>
      <w:r w:rsidRPr="00367921">
        <w:rPr>
          <w:rFonts w:cs="Times New Roman"/>
          <w:szCs w:val="24"/>
        </w:rPr>
        <w:t xml:space="preserve"> takie informacje są dostępne.</w:t>
      </w:r>
    </w:p>
    <w:p w14:paraId="0F02019E" w14:textId="77777777" w:rsidR="00A87E7C" w:rsidRDefault="00A87E7C" w:rsidP="0036792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6" w:name="_Toc117591143"/>
      <w:bookmarkStart w:id="137" w:name="_Toc117674765"/>
      <w:bookmarkStart w:id="138" w:name="_Toc117696696"/>
      <w:bookmarkStart w:id="139" w:name="_Toc122444449"/>
      <w:bookmarkStart w:id="140" w:name="_Toc158105001"/>
    </w:p>
    <w:p w14:paraId="308A9E2D" w14:textId="77777777" w:rsidR="007F0640" w:rsidRPr="007F0640" w:rsidRDefault="007F0640" w:rsidP="007F0640"/>
    <w:p w14:paraId="1238C94D" w14:textId="0B417815" w:rsidR="00471777" w:rsidRPr="00367921" w:rsidRDefault="005610C5" w:rsidP="007F064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7</w:t>
      </w:r>
      <w:r w:rsidRPr="00367921">
        <w:rPr>
          <w:rFonts w:ascii="Times New Roman" w:hAnsi="Times New Roman" w:cs="Times New Roman"/>
          <w:szCs w:val="24"/>
        </w:rPr>
        <w:t xml:space="preserve">. </w:t>
      </w:r>
      <w:r w:rsidR="007F0640">
        <w:rPr>
          <w:rFonts w:ascii="Times New Roman" w:hAnsi="Times New Roman" w:cs="Times New Roman"/>
          <w:szCs w:val="24"/>
        </w:rPr>
        <w:t xml:space="preserve">   </w:t>
      </w:r>
      <w:r w:rsidRPr="00367921">
        <w:rPr>
          <w:rFonts w:ascii="Times New Roman" w:hAnsi="Times New Roman" w:cs="Times New Roman"/>
          <w:szCs w:val="24"/>
        </w:rPr>
        <w:t>Ochrona</w:t>
      </w:r>
      <w:r w:rsidR="00935652" w:rsidRPr="00367921">
        <w:rPr>
          <w:rFonts w:ascii="Times New Roman" w:hAnsi="Times New Roman" w:cs="Times New Roman"/>
          <w:szCs w:val="24"/>
        </w:rPr>
        <w:t xml:space="preserve"> i bez</w:t>
      </w:r>
      <w:r w:rsidRPr="00367921">
        <w:rPr>
          <w:rFonts w:ascii="Times New Roman" w:hAnsi="Times New Roman" w:cs="Times New Roman"/>
          <w:szCs w:val="24"/>
        </w:rPr>
        <w:t>pieczeństwo uczestników</w:t>
      </w:r>
      <w:bookmarkEnd w:id="136"/>
      <w:bookmarkEnd w:id="137"/>
      <w:bookmarkEnd w:id="138"/>
      <w:bookmarkEnd w:id="139"/>
      <w:bookmarkEnd w:id="140"/>
      <w:r w:rsidRPr="00367921">
        <w:rPr>
          <w:rFonts w:ascii="Times New Roman" w:hAnsi="Times New Roman" w:cs="Times New Roman"/>
          <w:szCs w:val="24"/>
        </w:rPr>
        <w:t xml:space="preserve"> </w:t>
      </w:r>
    </w:p>
    <w:p w14:paraId="2B4A76A2" w14:textId="77777777" w:rsidR="007F0640" w:rsidRDefault="007F0640" w:rsidP="00367921">
      <w:pPr>
        <w:spacing w:after="0"/>
        <w:rPr>
          <w:rFonts w:cs="Times New Roman"/>
          <w:szCs w:val="24"/>
        </w:rPr>
      </w:pPr>
    </w:p>
    <w:p w14:paraId="3CB8D5AD" w14:textId="50E2E3D0" w:rsidR="00471777" w:rsidRPr="00367921" w:rsidRDefault="00471777" w:rsidP="00367921">
      <w:pPr>
        <w:spacing w:after="0"/>
        <w:rPr>
          <w:rFonts w:eastAsia="Times New Roman" w:cs="Times New Roman"/>
          <w:szCs w:val="24"/>
        </w:rPr>
      </w:pPr>
      <w:r w:rsidRPr="00367921">
        <w:rPr>
          <w:rFonts w:cs="Times New Roman"/>
          <w:szCs w:val="24"/>
        </w:rPr>
        <w:t>Beneficjent wprowadzi skuteczne procedury</w:t>
      </w:r>
      <w:r w:rsidR="00935652" w:rsidRPr="00367921">
        <w:rPr>
          <w:rFonts w:cs="Times New Roman"/>
          <w:szCs w:val="24"/>
        </w:rPr>
        <w:t xml:space="preserve"> i mec</w:t>
      </w:r>
      <w:r w:rsidRPr="00367921">
        <w:rPr>
          <w:rFonts w:cs="Times New Roman"/>
          <w:szCs w:val="24"/>
        </w:rPr>
        <w:t>hanizmy służące zapewnieniu bezpieczeństwa</w:t>
      </w:r>
      <w:r w:rsidR="00935652" w:rsidRPr="00367921">
        <w:rPr>
          <w:rFonts w:cs="Times New Roman"/>
          <w:szCs w:val="24"/>
        </w:rPr>
        <w:t xml:space="preserve"> i och</w:t>
      </w:r>
      <w:r w:rsidRPr="00367921">
        <w:rPr>
          <w:rFonts w:cs="Times New Roman"/>
          <w:szCs w:val="24"/>
        </w:rPr>
        <w:t>rony uczestników jego projektu.</w:t>
      </w:r>
    </w:p>
    <w:p w14:paraId="79D36B29" w14:textId="77777777" w:rsidR="007F0640" w:rsidRDefault="007F0640" w:rsidP="00367921">
      <w:pPr>
        <w:spacing w:after="0"/>
        <w:rPr>
          <w:rFonts w:cs="Times New Roman"/>
          <w:szCs w:val="24"/>
        </w:rPr>
      </w:pPr>
    </w:p>
    <w:p w14:paraId="20A725F0" w14:textId="62B5F70C" w:rsidR="003027DA" w:rsidRPr="00367921" w:rsidRDefault="00471777" w:rsidP="00367921">
      <w:pPr>
        <w:spacing w:after="0"/>
        <w:rPr>
          <w:rFonts w:eastAsia="Times New Roman" w:cs="Times New Roman"/>
          <w:szCs w:val="24"/>
        </w:rPr>
      </w:pPr>
      <w:r w:rsidRPr="00367921">
        <w:rPr>
          <w:rFonts w:cs="Times New Roman"/>
          <w:szCs w:val="24"/>
        </w:rPr>
        <w:t>Beneficjent musi zapewnić ubezpieczenie uczestnikom biorącym udział</w:t>
      </w:r>
      <w:r w:rsidR="00935652" w:rsidRPr="00367921">
        <w:rPr>
          <w:rFonts w:cs="Times New Roman"/>
          <w:szCs w:val="24"/>
        </w:rPr>
        <w:t xml:space="preserve"> w dzi</w:t>
      </w:r>
      <w:r w:rsidRPr="00367921">
        <w:rPr>
          <w:rFonts w:cs="Times New Roman"/>
          <w:szCs w:val="24"/>
        </w:rPr>
        <w:t>ałaniach</w:t>
      </w:r>
      <w:r w:rsidR="00935652" w:rsidRPr="00367921">
        <w:rPr>
          <w:rFonts w:cs="Times New Roman"/>
          <w:szCs w:val="24"/>
        </w:rPr>
        <w:t xml:space="preserve"> w zak</w:t>
      </w:r>
      <w:r w:rsidRPr="00367921">
        <w:rPr>
          <w:rFonts w:cs="Times New Roman"/>
          <w:szCs w:val="24"/>
        </w:rPr>
        <w:t xml:space="preserve">resie mobilności. </w:t>
      </w:r>
    </w:p>
    <w:p w14:paraId="5A308873" w14:textId="77777777" w:rsidR="007F0640" w:rsidRDefault="007F0640" w:rsidP="00367921">
      <w:pPr>
        <w:spacing w:after="0"/>
        <w:rPr>
          <w:rFonts w:cs="Times New Roman"/>
          <w:szCs w:val="24"/>
        </w:rPr>
      </w:pPr>
    </w:p>
    <w:p w14:paraId="29A6C75D" w14:textId="3EC30200" w:rsidR="00620902" w:rsidRPr="00367921" w:rsidRDefault="00471777" w:rsidP="00367921">
      <w:pPr>
        <w:spacing w:after="0"/>
        <w:rPr>
          <w:rFonts w:eastAsia="Times New Roman" w:cs="Times New Roman"/>
          <w:szCs w:val="24"/>
        </w:rPr>
      </w:pPr>
      <w:r w:rsidRPr="00367921">
        <w:rPr>
          <w:rFonts w:cs="Times New Roman"/>
          <w:szCs w:val="24"/>
        </w:rPr>
        <w:t>Przed rozpoczęciem uczestnictwa małoletnich</w:t>
      </w:r>
      <w:r w:rsidR="00935652" w:rsidRPr="00367921">
        <w:rPr>
          <w:rFonts w:cs="Times New Roman"/>
          <w:szCs w:val="24"/>
        </w:rPr>
        <w:t xml:space="preserve"> w pro</w:t>
      </w:r>
      <w:r w:rsidRPr="00367921">
        <w:rPr>
          <w:rFonts w:cs="Times New Roman"/>
          <w:szCs w:val="24"/>
        </w:rPr>
        <w:t>jekcie beneficjent musi zapewnić pełną zgodność</w:t>
      </w:r>
      <w:r w:rsidR="00935652" w:rsidRPr="00367921">
        <w:rPr>
          <w:rFonts w:cs="Times New Roman"/>
          <w:szCs w:val="24"/>
        </w:rPr>
        <w:t xml:space="preserve"> z maj</w:t>
      </w:r>
      <w:r w:rsidRPr="00367921">
        <w:rPr>
          <w:rFonts w:cs="Times New Roman"/>
          <w:szCs w:val="24"/>
        </w:rPr>
        <w:t>ącymi zastosowanie przepisami</w:t>
      </w:r>
      <w:r w:rsidR="00935652" w:rsidRPr="00367921">
        <w:rPr>
          <w:rFonts w:cs="Times New Roman"/>
          <w:szCs w:val="24"/>
        </w:rPr>
        <w:t xml:space="preserve"> w zak</w:t>
      </w:r>
      <w:r w:rsidRPr="00367921">
        <w:rPr>
          <w:rFonts w:cs="Times New Roman"/>
          <w:szCs w:val="24"/>
        </w:rPr>
        <w:t>resie ochrony</w:t>
      </w:r>
      <w:r w:rsidR="00935652" w:rsidRPr="00367921">
        <w:rPr>
          <w:rFonts w:cs="Times New Roman"/>
          <w:szCs w:val="24"/>
        </w:rPr>
        <w:t xml:space="preserve"> i bez</w:t>
      </w:r>
      <w:r w:rsidRPr="00367921">
        <w:rPr>
          <w:rFonts w:cs="Times New Roman"/>
          <w:szCs w:val="24"/>
        </w:rPr>
        <w:t>pieczeństwa małoletnich określonymi</w:t>
      </w:r>
      <w:r w:rsidR="00935652" w:rsidRPr="00367921">
        <w:rPr>
          <w:rFonts w:cs="Times New Roman"/>
          <w:szCs w:val="24"/>
        </w:rPr>
        <w:t xml:space="preserve"> w maj</w:t>
      </w:r>
      <w:r w:rsidRPr="00367921">
        <w:rPr>
          <w:rFonts w:cs="Times New Roman"/>
          <w:szCs w:val="24"/>
        </w:rPr>
        <w:t>ących zastosowanie przepisach</w:t>
      </w:r>
      <w:r w:rsidR="00935652" w:rsidRPr="00367921">
        <w:rPr>
          <w:rFonts w:cs="Times New Roman"/>
          <w:szCs w:val="24"/>
        </w:rPr>
        <w:t xml:space="preserve"> w kra</w:t>
      </w:r>
      <w:r w:rsidRPr="00367921">
        <w:rPr>
          <w:rFonts w:cs="Times New Roman"/>
          <w:szCs w:val="24"/>
        </w:rPr>
        <w:t>jach wysyłających</w:t>
      </w:r>
      <w:r w:rsidR="00935652" w:rsidRPr="00367921">
        <w:rPr>
          <w:rFonts w:cs="Times New Roman"/>
          <w:szCs w:val="24"/>
        </w:rPr>
        <w:t xml:space="preserve"> i prz</w:t>
      </w:r>
      <w:r w:rsidRPr="00367921">
        <w:rPr>
          <w:rFonts w:cs="Times New Roman"/>
          <w:szCs w:val="24"/>
        </w:rPr>
        <w:t>yjmujących,</w:t>
      </w:r>
      <w:r w:rsidR="00935652" w:rsidRPr="00367921">
        <w:rPr>
          <w:rFonts w:cs="Times New Roman"/>
          <w:szCs w:val="24"/>
        </w:rPr>
        <w:t xml:space="preserve"> w tym</w:t>
      </w:r>
      <w:r w:rsidRPr="00367921">
        <w:rPr>
          <w:rFonts w:cs="Times New Roman"/>
          <w:szCs w:val="24"/>
        </w:rPr>
        <w:t xml:space="preserve"> m.in.:</w:t>
      </w:r>
      <w:r w:rsidR="00935652" w:rsidRPr="00367921">
        <w:rPr>
          <w:rFonts w:cs="Times New Roman"/>
          <w:szCs w:val="24"/>
        </w:rPr>
        <w:t xml:space="preserve"> </w:t>
      </w:r>
      <w:r w:rsidRPr="00367921">
        <w:rPr>
          <w:rFonts w:cs="Times New Roman"/>
          <w:szCs w:val="24"/>
        </w:rPr>
        <w:t>zgodę rodzica czy opiekuna, uzgodnienia</w:t>
      </w:r>
      <w:r w:rsidR="00935652" w:rsidRPr="00367921">
        <w:rPr>
          <w:rFonts w:cs="Times New Roman"/>
          <w:szCs w:val="24"/>
        </w:rPr>
        <w:t xml:space="preserve"> w dzi</w:t>
      </w:r>
      <w:r w:rsidRPr="00367921">
        <w:rPr>
          <w:rFonts w:cs="Times New Roman"/>
          <w:szCs w:val="24"/>
        </w:rPr>
        <w:t>edzinie ubezpieczenia, ograniczenia wiekowe.</w:t>
      </w:r>
    </w:p>
    <w:p w14:paraId="40AD99B0" w14:textId="77777777" w:rsidR="00A87E7C" w:rsidRDefault="00A87E7C" w:rsidP="00367921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1" w:name="_Toc72340599"/>
      <w:bookmarkStart w:id="142" w:name="_Toc72499028"/>
      <w:bookmarkStart w:id="143" w:name="_Toc102463260"/>
      <w:bookmarkStart w:id="144" w:name="_Toc117591144"/>
      <w:bookmarkStart w:id="145" w:name="_Toc117674766"/>
      <w:bookmarkStart w:id="146" w:name="_Toc117696697"/>
      <w:bookmarkStart w:id="147" w:name="_Toc122444450"/>
      <w:bookmarkStart w:id="148" w:name="_Toc158105002"/>
      <w:bookmarkEnd w:id="141"/>
    </w:p>
    <w:p w14:paraId="1F50FD45" w14:textId="77777777" w:rsidR="007F0640" w:rsidRPr="007F0640" w:rsidRDefault="007F0640" w:rsidP="007F0640"/>
    <w:p w14:paraId="5AC798E4" w14:textId="49C1ED94" w:rsidR="00507BDD" w:rsidRPr="00367921" w:rsidRDefault="003C2ACF" w:rsidP="007F064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8</w:t>
      </w:r>
      <w:r w:rsidRPr="00367921">
        <w:rPr>
          <w:rFonts w:ascii="Times New Roman" w:hAnsi="Times New Roman" w:cs="Times New Roman"/>
          <w:szCs w:val="24"/>
        </w:rPr>
        <w:t xml:space="preserve">. </w:t>
      </w:r>
      <w:r w:rsidR="007F0640">
        <w:rPr>
          <w:rFonts w:ascii="Times New Roman" w:hAnsi="Times New Roman" w:cs="Times New Roman"/>
          <w:szCs w:val="24"/>
        </w:rPr>
        <w:t xml:space="preserve">   </w:t>
      </w:r>
      <w:r w:rsidRPr="00367921">
        <w:rPr>
          <w:rFonts w:ascii="Times New Roman" w:hAnsi="Times New Roman" w:cs="Times New Roman"/>
          <w:szCs w:val="24"/>
        </w:rPr>
        <w:t>Świadectwo Youthpass</w:t>
      </w:r>
      <w:bookmarkEnd w:id="142"/>
      <w:bookmarkEnd w:id="143"/>
      <w:bookmarkEnd w:id="144"/>
      <w:bookmarkEnd w:id="145"/>
      <w:bookmarkEnd w:id="146"/>
      <w:bookmarkEnd w:id="147"/>
      <w:bookmarkEnd w:id="148"/>
      <w:r w:rsidRPr="00367921">
        <w:rPr>
          <w:rFonts w:ascii="Times New Roman" w:hAnsi="Times New Roman" w:cs="Times New Roman"/>
          <w:szCs w:val="24"/>
        </w:rPr>
        <w:t xml:space="preserve"> </w:t>
      </w:r>
    </w:p>
    <w:p w14:paraId="06C2BA7A" w14:textId="77777777" w:rsidR="007F0640" w:rsidRDefault="007F0640" w:rsidP="00367921">
      <w:pPr>
        <w:spacing w:after="0"/>
        <w:rPr>
          <w:rFonts w:cs="Times New Roman"/>
          <w:szCs w:val="24"/>
        </w:rPr>
      </w:pPr>
    </w:p>
    <w:p w14:paraId="7F2324E7" w14:textId="011110EB" w:rsidR="00507BDD" w:rsidRPr="00367921" w:rsidRDefault="00507BDD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Beneficjent musi poinformować uczestników biorących udział</w:t>
      </w:r>
      <w:r w:rsidR="00935652" w:rsidRPr="00367921">
        <w:rPr>
          <w:rFonts w:cs="Times New Roman"/>
          <w:szCs w:val="24"/>
        </w:rPr>
        <w:t xml:space="preserve"> w pro</w:t>
      </w:r>
      <w:r w:rsidRPr="00367921">
        <w:rPr>
          <w:rFonts w:cs="Times New Roman"/>
          <w:szCs w:val="24"/>
        </w:rPr>
        <w:t>jekcie</w:t>
      </w:r>
      <w:r w:rsidR="00935652" w:rsidRPr="00367921">
        <w:rPr>
          <w:rFonts w:cs="Times New Roman"/>
          <w:szCs w:val="24"/>
        </w:rPr>
        <w:t xml:space="preserve"> o ich</w:t>
      </w:r>
      <w:r w:rsidRPr="00367921">
        <w:rPr>
          <w:rFonts w:cs="Times New Roman"/>
          <w:szCs w:val="24"/>
        </w:rPr>
        <w:t xml:space="preserve"> prawie do otrzymania świadectwa Youthpass.</w:t>
      </w:r>
      <w:r w:rsidR="00935652" w:rsidRPr="00367921">
        <w:rPr>
          <w:rFonts w:cs="Times New Roman"/>
          <w:szCs w:val="24"/>
        </w:rPr>
        <w:t xml:space="preserve"> </w:t>
      </w:r>
    </w:p>
    <w:p w14:paraId="6632704D" w14:textId="77777777" w:rsidR="007F0640" w:rsidRDefault="007F0640" w:rsidP="00367921">
      <w:pPr>
        <w:spacing w:after="0"/>
        <w:rPr>
          <w:rFonts w:cs="Times New Roman"/>
          <w:szCs w:val="24"/>
        </w:rPr>
      </w:pPr>
    </w:p>
    <w:p w14:paraId="024BAE27" w14:textId="77788926" w:rsidR="00507BDD" w:rsidRPr="00367921" w:rsidRDefault="00507BDD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Beneficjent będzie wspierał uczestników biorących udział</w:t>
      </w:r>
      <w:r w:rsidR="00935652" w:rsidRPr="00367921">
        <w:rPr>
          <w:rFonts w:cs="Times New Roman"/>
          <w:szCs w:val="24"/>
        </w:rPr>
        <w:t xml:space="preserve"> w pro</w:t>
      </w:r>
      <w:r w:rsidRPr="00367921">
        <w:rPr>
          <w:rFonts w:cs="Times New Roman"/>
          <w:szCs w:val="24"/>
        </w:rPr>
        <w:t>jekcie</w:t>
      </w:r>
      <w:r w:rsidR="00935652" w:rsidRPr="00367921">
        <w:rPr>
          <w:rFonts w:cs="Times New Roman"/>
          <w:szCs w:val="24"/>
        </w:rPr>
        <w:t xml:space="preserve"> w oce</w:t>
      </w:r>
      <w:r w:rsidRPr="00367921">
        <w:rPr>
          <w:rFonts w:cs="Times New Roman"/>
          <w:szCs w:val="24"/>
        </w:rPr>
        <w:t>nie osiągniętych przez nich efektów uczenia się pozaformalnego oraz ma obowiązek wydać świadectwo Youthpass każdemu uczestnikowi, który</w:t>
      </w:r>
      <w:r w:rsidR="00935652" w:rsidRPr="00367921">
        <w:rPr>
          <w:rFonts w:cs="Times New Roman"/>
          <w:szCs w:val="24"/>
        </w:rPr>
        <w:t xml:space="preserve"> o nie</w:t>
      </w:r>
      <w:r w:rsidRPr="00367921">
        <w:rPr>
          <w:rFonts w:cs="Times New Roman"/>
          <w:szCs w:val="24"/>
        </w:rPr>
        <w:t xml:space="preserve"> wystąpi po zakończeniu działania.</w:t>
      </w:r>
    </w:p>
    <w:p w14:paraId="7A84E274" w14:textId="77777777" w:rsidR="00A87E7C" w:rsidRDefault="00A87E7C" w:rsidP="00367921">
      <w:pPr>
        <w:spacing w:after="0"/>
        <w:rPr>
          <w:rFonts w:cs="Times New Roman"/>
          <w:szCs w:val="24"/>
        </w:rPr>
      </w:pPr>
    </w:p>
    <w:p w14:paraId="1C31E22B" w14:textId="77777777" w:rsidR="007F0640" w:rsidRPr="00367921" w:rsidRDefault="007F0640" w:rsidP="00367921">
      <w:pPr>
        <w:spacing w:after="0"/>
        <w:rPr>
          <w:rFonts w:cs="Times New Roman"/>
          <w:szCs w:val="24"/>
        </w:rPr>
      </w:pPr>
    </w:p>
    <w:p w14:paraId="74E7289B" w14:textId="64ABD02F" w:rsidR="00471777" w:rsidRPr="00367921" w:rsidRDefault="003C2ACF" w:rsidP="007F0640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149" w:name="_Toc117591145"/>
      <w:bookmarkStart w:id="150" w:name="_Toc117674767"/>
      <w:bookmarkStart w:id="151" w:name="_Toc117696698"/>
      <w:bookmarkStart w:id="152" w:name="_Toc122444451"/>
      <w:bookmarkStart w:id="153" w:name="_Toc158105003"/>
      <w:r w:rsidRPr="00367921">
        <w:rPr>
          <w:rFonts w:ascii="Times New Roman" w:hAnsi="Times New Roman" w:cs="Times New Roman"/>
          <w:szCs w:val="24"/>
        </w:rPr>
        <w:t>1</w:t>
      </w:r>
      <w:r w:rsidR="00A36726">
        <w:rPr>
          <w:rFonts w:ascii="Times New Roman" w:hAnsi="Times New Roman" w:cs="Times New Roman"/>
          <w:szCs w:val="24"/>
        </w:rPr>
        <w:t>9</w:t>
      </w:r>
      <w:r w:rsidRPr="00367921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149"/>
      <w:bookmarkEnd w:id="150"/>
      <w:bookmarkEnd w:id="151"/>
      <w:bookmarkEnd w:id="152"/>
      <w:bookmarkEnd w:id="153"/>
      <w:r w:rsidRPr="00367921">
        <w:rPr>
          <w:rFonts w:ascii="Times New Roman" w:hAnsi="Times New Roman" w:cs="Times New Roman"/>
          <w:szCs w:val="24"/>
        </w:rPr>
        <w:t xml:space="preserve"> </w:t>
      </w:r>
    </w:p>
    <w:p w14:paraId="5F1421E8" w14:textId="77777777" w:rsidR="007F0640" w:rsidRDefault="007F0640" w:rsidP="00367921">
      <w:pPr>
        <w:spacing w:after="0"/>
        <w:rPr>
          <w:rFonts w:cs="Times New Roman"/>
          <w:szCs w:val="24"/>
        </w:rPr>
      </w:pPr>
    </w:p>
    <w:p w14:paraId="630DC1FC" w14:textId="40BE4970" w:rsidR="00471777" w:rsidRPr="00367921" w:rsidRDefault="00A87E7C" w:rsidP="00367921">
      <w:pPr>
        <w:spacing w:after="0"/>
        <w:rPr>
          <w:rFonts w:cs="Times New Roman"/>
          <w:szCs w:val="24"/>
        </w:rPr>
      </w:pPr>
      <w:r w:rsidRPr="00367921">
        <w:rPr>
          <w:rFonts w:cs="Times New Roman"/>
          <w:szCs w:val="24"/>
        </w:rPr>
        <w:t>Nie dotyczy.</w:t>
      </w:r>
    </w:p>
    <w:p w14:paraId="764D76C8" w14:textId="038D5527" w:rsidR="00077C76" w:rsidRPr="00367921" w:rsidRDefault="00077C76" w:rsidP="00367921">
      <w:pPr>
        <w:spacing w:after="0"/>
        <w:jc w:val="left"/>
        <w:rPr>
          <w:rFonts w:cs="Times New Roman"/>
          <w:szCs w:val="24"/>
        </w:rPr>
      </w:pPr>
    </w:p>
    <w:sectPr w:rsidR="00077C76" w:rsidRPr="00367921" w:rsidSect="00381C0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6924" w14:textId="77777777" w:rsidR="005322A1" w:rsidRPr="00935652" w:rsidRDefault="005322A1" w:rsidP="00821732">
      <w:r w:rsidRPr="00935652">
        <w:separator/>
      </w:r>
    </w:p>
  </w:endnote>
  <w:endnote w:type="continuationSeparator" w:id="0">
    <w:p w14:paraId="7AC44367" w14:textId="77777777" w:rsidR="005322A1" w:rsidRPr="00935652" w:rsidRDefault="005322A1" w:rsidP="00821732">
      <w:r w:rsidRPr="00935652">
        <w:continuationSeparator/>
      </w:r>
    </w:p>
  </w:endnote>
  <w:endnote w:type="continuationNotice" w:id="1">
    <w:p w14:paraId="7240A1FE" w14:textId="77777777" w:rsidR="005322A1" w:rsidRPr="00935652" w:rsidRDefault="00532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16FF" w14:textId="77777777" w:rsidR="005322A1" w:rsidRPr="00935652" w:rsidRDefault="005322A1" w:rsidP="00821732">
      <w:r w:rsidRPr="00935652">
        <w:separator/>
      </w:r>
    </w:p>
  </w:footnote>
  <w:footnote w:type="continuationSeparator" w:id="0">
    <w:p w14:paraId="049D5859" w14:textId="77777777" w:rsidR="005322A1" w:rsidRPr="00935652" w:rsidRDefault="005322A1" w:rsidP="00821732">
      <w:r w:rsidRPr="00935652">
        <w:continuationSeparator/>
      </w:r>
    </w:p>
  </w:footnote>
  <w:footnote w:type="continuationNotice" w:id="1">
    <w:p w14:paraId="3F9F14B8" w14:textId="77777777" w:rsidR="005322A1" w:rsidRPr="00935652" w:rsidRDefault="005322A1"/>
  </w:footnote>
  <w:footnote w:id="2">
    <w:p w14:paraId="4AAA0009" w14:textId="17FD67F7" w:rsidR="00363536" w:rsidRPr="00935652" w:rsidDel="009C1989" w:rsidRDefault="00363536" w:rsidP="00367921">
      <w:pPr>
        <w:pStyle w:val="Tekstprzypisudolnego"/>
        <w:ind w:left="0" w:firstLine="0"/>
      </w:pPr>
      <w:r w:rsidRPr="00935652">
        <w:rPr>
          <w:rStyle w:val="Odwoanieprzypisudolnego"/>
        </w:rPr>
        <w:footnoteRef/>
      </w:r>
      <w:r w:rsidRPr="00935652">
        <w:t xml:space="preserve"> </w:t>
      </w:r>
      <w:r w:rsidRPr="00367921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04285B"/>
    <w:multiLevelType w:val="hybridMultilevel"/>
    <w:tmpl w:val="E820AA0A"/>
    <w:lvl w:ilvl="0" w:tplc="D4BCAF5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E3DE45D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CACA65E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5DBA373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8FDC8E3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5626442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17C4335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876CD0E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202CAF3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61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2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6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8E472CA"/>
    <w:multiLevelType w:val="hybridMultilevel"/>
    <w:tmpl w:val="10BC6400"/>
    <w:lvl w:ilvl="0" w:tplc="E766E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9EA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529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588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CEE7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864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A2F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0EB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5D0D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9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0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1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3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8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2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4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5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9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4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1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5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0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10"/>
  </w:num>
  <w:num w:numId="3" w16cid:durableId="541601681">
    <w:abstractNumId w:val="118"/>
  </w:num>
  <w:num w:numId="4" w16cid:durableId="728305463">
    <w:abstractNumId w:val="66"/>
  </w:num>
  <w:num w:numId="5" w16cid:durableId="1970283433">
    <w:abstractNumId w:val="116"/>
  </w:num>
  <w:num w:numId="6" w16cid:durableId="134951762">
    <w:abstractNumId w:val="46"/>
  </w:num>
  <w:num w:numId="7" w16cid:durableId="86119548">
    <w:abstractNumId w:val="77"/>
  </w:num>
  <w:num w:numId="8" w16cid:durableId="1499732114">
    <w:abstractNumId w:val="95"/>
  </w:num>
  <w:num w:numId="9" w16cid:durableId="1126585314">
    <w:abstractNumId w:val="78"/>
  </w:num>
  <w:num w:numId="10" w16cid:durableId="1602106903">
    <w:abstractNumId w:val="120"/>
  </w:num>
  <w:num w:numId="11" w16cid:durableId="606349681">
    <w:abstractNumId w:val="105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3"/>
  </w:num>
  <w:num w:numId="15" w16cid:durableId="147290727">
    <w:abstractNumId w:val="96"/>
  </w:num>
  <w:num w:numId="16" w16cid:durableId="621351782">
    <w:abstractNumId w:val="50"/>
  </w:num>
  <w:num w:numId="17" w16cid:durableId="280386474">
    <w:abstractNumId w:val="103"/>
  </w:num>
  <w:num w:numId="18" w16cid:durableId="1219442876">
    <w:abstractNumId w:val="81"/>
  </w:num>
  <w:num w:numId="19" w16cid:durableId="1978677127">
    <w:abstractNumId w:val="72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2"/>
  </w:num>
  <w:num w:numId="23" w16cid:durableId="2052260606">
    <w:abstractNumId w:val="114"/>
  </w:num>
  <w:num w:numId="24" w16cid:durableId="1348169940">
    <w:abstractNumId w:val="113"/>
  </w:num>
  <w:num w:numId="25" w16cid:durableId="1306010190">
    <w:abstractNumId w:val="119"/>
  </w:num>
  <w:num w:numId="26" w16cid:durableId="1205867131">
    <w:abstractNumId w:val="65"/>
  </w:num>
  <w:num w:numId="27" w16cid:durableId="1384452247">
    <w:abstractNumId w:val="86"/>
  </w:num>
  <w:num w:numId="28" w16cid:durableId="881749667">
    <w:abstractNumId w:val="90"/>
  </w:num>
  <w:num w:numId="29" w16cid:durableId="1312324365">
    <w:abstractNumId w:val="89"/>
  </w:num>
  <w:num w:numId="30" w16cid:durableId="2056194613">
    <w:abstractNumId w:val="48"/>
  </w:num>
  <w:num w:numId="31" w16cid:durableId="735666055">
    <w:abstractNumId w:val="94"/>
  </w:num>
  <w:num w:numId="32" w16cid:durableId="1073963623">
    <w:abstractNumId w:val="70"/>
  </w:num>
  <w:num w:numId="33" w16cid:durableId="1323310868">
    <w:abstractNumId w:val="73"/>
  </w:num>
  <w:num w:numId="34" w16cid:durableId="216746851">
    <w:abstractNumId w:val="80"/>
  </w:num>
  <w:num w:numId="35" w16cid:durableId="440222608">
    <w:abstractNumId w:val="99"/>
  </w:num>
  <w:num w:numId="36" w16cid:durableId="1402215718">
    <w:abstractNumId w:val="84"/>
  </w:num>
  <w:num w:numId="37" w16cid:durableId="1111390030">
    <w:abstractNumId w:val="98"/>
  </w:num>
  <w:num w:numId="38" w16cid:durableId="1167481855">
    <w:abstractNumId w:val="69"/>
  </w:num>
  <w:num w:numId="39" w16cid:durableId="1453472225">
    <w:abstractNumId w:val="56"/>
  </w:num>
  <w:num w:numId="40" w16cid:durableId="613513543">
    <w:abstractNumId w:val="85"/>
  </w:num>
  <w:num w:numId="41" w16cid:durableId="813641122">
    <w:abstractNumId w:val="111"/>
  </w:num>
  <w:num w:numId="42" w16cid:durableId="1771658460">
    <w:abstractNumId w:val="115"/>
  </w:num>
  <w:num w:numId="43" w16cid:durableId="1014914141">
    <w:abstractNumId w:val="93"/>
  </w:num>
  <w:num w:numId="44" w16cid:durableId="229115362">
    <w:abstractNumId w:val="102"/>
  </w:num>
  <w:num w:numId="45" w16cid:durableId="845905073">
    <w:abstractNumId w:val="125"/>
  </w:num>
  <w:num w:numId="46" w16cid:durableId="1420952237">
    <w:abstractNumId w:val="54"/>
  </w:num>
  <w:num w:numId="47" w16cid:durableId="394352469">
    <w:abstractNumId w:val="97"/>
  </w:num>
  <w:num w:numId="48" w16cid:durableId="2132938065">
    <w:abstractNumId w:val="61"/>
  </w:num>
  <w:num w:numId="49" w16cid:durableId="1107315798">
    <w:abstractNumId w:val="76"/>
  </w:num>
  <w:num w:numId="50" w16cid:durableId="860818247">
    <w:abstractNumId w:val="126"/>
  </w:num>
  <w:num w:numId="51" w16cid:durableId="1014189238">
    <w:abstractNumId w:val="104"/>
  </w:num>
  <w:num w:numId="52" w16cid:durableId="379209323">
    <w:abstractNumId w:val="88"/>
  </w:num>
  <w:num w:numId="53" w16cid:durableId="620260917">
    <w:abstractNumId w:val="101"/>
  </w:num>
  <w:num w:numId="54" w16cid:durableId="348525294">
    <w:abstractNumId w:val="64"/>
  </w:num>
  <w:num w:numId="55" w16cid:durableId="524176961">
    <w:abstractNumId w:val="108"/>
  </w:num>
  <w:num w:numId="56" w16cid:durableId="983512393">
    <w:abstractNumId w:val="47"/>
  </w:num>
  <w:num w:numId="57" w16cid:durableId="1141538436">
    <w:abstractNumId w:val="67"/>
  </w:num>
  <w:num w:numId="58" w16cid:durableId="1649553971">
    <w:abstractNumId w:val="74"/>
  </w:num>
  <w:num w:numId="59" w16cid:durableId="1750689650">
    <w:abstractNumId w:val="117"/>
  </w:num>
  <w:num w:numId="60" w16cid:durableId="1889875756">
    <w:abstractNumId w:val="106"/>
  </w:num>
  <w:num w:numId="61" w16cid:durableId="71827570">
    <w:abstractNumId w:val="92"/>
  </w:num>
  <w:num w:numId="62" w16cid:durableId="1311128342">
    <w:abstractNumId w:val="45"/>
  </w:num>
  <w:num w:numId="63" w16cid:durableId="994450868">
    <w:abstractNumId w:val="87"/>
  </w:num>
  <w:num w:numId="64" w16cid:durableId="519323875">
    <w:abstractNumId w:val="122"/>
  </w:num>
  <w:num w:numId="65" w16cid:durableId="567230997">
    <w:abstractNumId w:val="109"/>
  </w:num>
  <w:num w:numId="66" w16cid:durableId="328797032">
    <w:abstractNumId w:val="62"/>
  </w:num>
  <w:num w:numId="67" w16cid:durableId="999892560">
    <w:abstractNumId w:val="121"/>
  </w:num>
  <w:num w:numId="68" w16cid:durableId="1694575953">
    <w:abstractNumId w:val="71"/>
  </w:num>
  <w:num w:numId="69" w16cid:durableId="416634367">
    <w:abstractNumId w:val="79"/>
  </w:num>
  <w:num w:numId="70" w16cid:durableId="356733247">
    <w:abstractNumId w:val="100"/>
  </w:num>
  <w:num w:numId="71" w16cid:durableId="178396079">
    <w:abstractNumId w:val="91"/>
  </w:num>
  <w:num w:numId="72" w16cid:durableId="138500050">
    <w:abstractNumId w:val="63"/>
  </w:num>
  <w:num w:numId="73" w16cid:durableId="812647414">
    <w:abstractNumId w:val="107"/>
  </w:num>
  <w:num w:numId="74" w16cid:durableId="483787849">
    <w:abstractNumId w:val="57"/>
  </w:num>
  <w:num w:numId="75" w16cid:durableId="585385732">
    <w:abstractNumId w:val="124"/>
  </w:num>
  <w:num w:numId="76" w16cid:durableId="1437480386">
    <w:abstractNumId w:val="52"/>
  </w:num>
  <w:num w:numId="77" w16cid:durableId="141970679">
    <w:abstractNumId w:val="127"/>
  </w:num>
  <w:num w:numId="78" w16cid:durableId="116072361">
    <w:abstractNumId w:val="82"/>
  </w:num>
  <w:num w:numId="79" w16cid:durableId="167867076">
    <w:abstractNumId w:val="97"/>
  </w:num>
  <w:num w:numId="80" w16cid:durableId="415978191">
    <w:abstractNumId w:val="60"/>
  </w:num>
  <w:num w:numId="81" w16cid:durableId="524444754">
    <w:abstractNumId w:val="6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B9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1CD1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DF2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921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A55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5A4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69D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4BAE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7B2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425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852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4F22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210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02C"/>
    <w:rsid w:val="005312EB"/>
    <w:rsid w:val="00531DE9"/>
    <w:rsid w:val="005322A1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0EC5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5B0D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7CB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4A47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11E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503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4A8"/>
    <w:rsid w:val="007F0640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5CA"/>
    <w:rsid w:val="008F7C0E"/>
    <w:rsid w:val="00900486"/>
    <w:rsid w:val="00900657"/>
    <w:rsid w:val="00900F10"/>
    <w:rsid w:val="009010F0"/>
    <w:rsid w:val="009012D2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726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87E7C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48F4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1E50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04CF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A9F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1990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0FAF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180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19D9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C62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2C0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B43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A34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37F57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47F1B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1C7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87F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2D0B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1FF840EE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6B879F5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programmes/erasmus-plus/projec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2456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4</cp:revision>
  <cp:lastPrinted>2022-12-11T01:29:00Z</cp:lastPrinted>
  <dcterms:created xsi:type="dcterms:W3CDTF">2025-03-24T15:54:00Z</dcterms:created>
  <dcterms:modified xsi:type="dcterms:W3CDTF">2025-05-12T22:02:00Z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