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FC12" w14:textId="77777777" w:rsidR="004773EB" w:rsidRPr="004773EB" w:rsidRDefault="004773EB" w:rsidP="004773EB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4773EB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020623EC" w14:textId="533C53A8" w:rsidR="004773EB" w:rsidRDefault="00595076" w:rsidP="00595076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595076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KA </w:t>
      </w:r>
      <w:r w:rsidR="004773EB" w:rsidRPr="00595076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15</w:t>
      </w:r>
      <w:r w:rsidR="009001AB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2</w:t>
      </w:r>
    </w:p>
    <w:p w14:paraId="448C58BF" w14:textId="795F9B4D" w:rsidR="00595076" w:rsidRDefault="00595076" w:rsidP="00595076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(you)</w:t>
      </w:r>
    </w:p>
    <w:p w14:paraId="307AF53F" w14:textId="77777777" w:rsidR="00595076" w:rsidRDefault="00595076" w:rsidP="00595076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</w:p>
    <w:p w14:paraId="409CBF12" w14:textId="77777777" w:rsidR="004773EB" w:rsidRPr="004773EB" w:rsidRDefault="004773EB" w:rsidP="004773EB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4A424510" w14:textId="722E1B32" w:rsidR="00952A12" w:rsidRDefault="00952A12" w:rsidP="004773EB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1.1 Podróż</w:t>
      </w:r>
    </w:p>
    <w:p w14:paraId="585AE111" w14:textId="76C3A29C" w:rsidR="004773EB" w:rsidRPr="004773EB" w:rsidRDefault="004773EB" w:rsidP="004773EB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4773E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1793D9E" w14:textId="3D4B2D13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="002464F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2464F7" w:rsidRPr="002464F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(tj. wspólne przejazdy samochodem co najmniej dwóch pasażerów, gdzie kierowca dzieli koszty na paliwo wspólnie z pasażerem/pasażerami)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 pociąg. </w:t>
      </w:r>
      <w:r w:rsidR="00C83170">
        <w:rPr>
          <w:rFonts w:ascii="Times New Roman" w:eastAsia="Calibri" w:hAnsi="Times New Roman" w:cs="Times New Roman"/>
          <w:kern w:val="0"/>
          <w:sz w:val="24"/>
          <w14:ligatures w14:val="none"/>
        </w:rPr>
        <w:t>Agencja narodowa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może uznać inne środki transportu za zrównoważone w oparciu o utrwaloną praktykę, indywidualnie dla każdego przypadku. </w:t>
      </w:r>
    </w:p>
    <w:p w14:paraId="133D9438" w14:textId="54EB404F" w:rsidR="004773EB" w:rsidRPr="004773EB" w:rsidRDefault="004773EB" w:rsidP="004773EB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952A12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podróż</w:t>
      </w:r>
      <w:r w:rsidRPr="004773EB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zrównoważonymi środkami transportu (podróż z wykorzystaniem ekologicznych środków transportu) jest kwalifikowalny, jeżeli większość podróży w obie strony odbyto zrównoważonymi środkami transportu</w:t>
      </w:r>
      <w:r w:rsidR="008D04F8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odległości)</w:t>
      </w:r>
      <w:r w:rsidRPr="004773EB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C6BD633" w14:textId="080D0141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4773EB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C83170">
        <w:rPr>
          <w:rFonts w:ascii="Times New Roman" w:eastAsia="Calibri" w:hAnsi="Times New Roman" w:cs="Times New Roman"/>
          <w:kern w:val="0"/>
          <w:sz w:val="24"/>
          <w14:ligatures w14:val="none"/>
        </w:rPr>
        <w:t>koszt podróży w obie strony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obie strony między miejscem wyjazdu a miejscem przyjazdu.</w:t>
      </w:r>
    </w:p>
    <w:p w14:paraId="08368F02" w14:textId="77777777" w:rsidR="008D04F8" w:rsidRDefault="004773EB" w:rsidP="099E71D3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99E71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4773EB">
        <w:rPr>
          <w:rFonts w:ascii="Times New Roman" w:eastAsia="Calibri" w:hAnsi="Times New Roman" w:cs="Times New Roman"/>
          <w:kern w:val="0"/>
          <w14:ligatures w14:val="none"/>
        </w:rPr>
        <w:t xml:space="preserve">:  </w:t>
      </w:r>
      <w:r w:rsidRPr="099E71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4773EB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99E71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0542AA" w14:textId="75F5DBCC" w:rsidR="004773EB" w:rsidRPr="004773EB" w:rsidRDefault="004773EB" w:rsidP="004773EB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C83170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8D04F8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34DB28F5" w14:textId="77777777" w:rsidR="004773EB" w:rsidRPr="004773EB" w:rsidRDefault="004773EB" w:rsidP="004773EB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56BF177E" w14:textId="3856EDFF" w:rsidR="004773EB" w:rsidRPr="004773EB" w:rsidRDefault="004773EB" w:rsidP="004773EB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SimSun" w:hAnsi="Times New Roman Bold" w:cs="Times New Roman" w:hint="eastAsia"/>
          <w:bCs/>
          <w:kern w:val="0"/>
          <w:sz w:val="24"/>
          <w:szCs w:val="26"/>
          <w:shd w:val="clear" w:color="auto" w:fill="FFFF00"/>
          <w14:ligatures w14:val="none"/>
        </w:rPr>
      </w:pPr>
      <w:r w:rsidRPr="004773EB">
        <w:rPr>
          <w:rFonts w:ascii="Times New Roman Bold" w:eastAsia="Times New Roman" w:hAnsi="Times New Roman Bold" w:cs="Times New Roman"/>
          <w:bCs/>
          <w:kern w:val="0"/>
          <w:sz w:val="24"/>
          <w:szCs w:val="26"/>
          <w14:ligatures w14:val="none"/>
        </w:rPr>
        <w:t xml:space="preserve"> </w:t>
      </w:r>
    </w:p>
    <w:p w14:paraId="7BF52A77" w14:textId="77777777" w:rsidR="004773EB" w:rsidRPr="004773EB" w:rsidRDefault="004773EB" w:rsidP="004773EB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076B1470" w14:textId="413F6532" w:rsidR="004773EB" w:rsidRPr="004773EB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na podróż oblicza się, mnożąc liczbę uczestników</w:t>
      </w:r>
      <w:r w:rsidR="00952A12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osób towarzyszących, osób wspomagających proces kształcenia oraz liderów grupy w danym przedziale odległości przez wkład jednostkowy mający zastosowanie do danego przedziału odległości i rodzaju podróży (z wykorzystaniem </w:t>
      </w:r>
      <w:r w:rsidR="008D04F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ekologicznych środków transportu), jak określono w załączniku 3 do umowy. </w:t>
      </w:r>
    </w:p>
    <w:p w14:paraId="31FBD43F" w14:textId="79816F19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 przypadku działań objazdowych całkowity wkład jednostkowy oblicza się, mnożąc liczbę uczestników w danym przedziale odległości odpowiadającym sumie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odległości między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poszczególnymi miejscami przez wkład jednostkowy mający zastosowanie do danego przedziału odległości i rodzaju podróży (z wykorzystaniem </w:t>
      </w:r>
      <w:r w:rsidR="008D04F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ekologicznych środków transportu), jak określono w załączniku 3 do umowy.</w:t>
      </w:r>
    </w:p>
    <w:p w14:paraId="250A3A46" w14:textId="3819FBAB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952A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online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7" w:history="1">
        <w:r w:rsidRPr="004773EB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146A4A8D" w14:textId="57D8940E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Beneficjent oblicza całkowity wkład jednostkowy na </w:t>
      </w:r>
      <w:r w:rsidR="00952A12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 kosztów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 pośrednictwem narzędzia sprawozdawczości i zarządzania programem Erasmus+ na podstawie mających zastosowanie stawek wkładu jednostkowego. </w:t>
      </w:r>
    </w:p>
    <w:p w14:paraId="4CBAC2C3" w14:textId="77777777" w:rsidR="004773EB" w:rsidRPr="004773EB" w:rsidRDefault="004773EB" w:rsidP="004773EB">
      <w:pPr>
        <w:numPr>
          <w:ilvl w:val="0"/>
          <w:numId w:val="2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33CE8DE1" w14:textId="32C8FDB9" w:rsidR="004773EB" w:rsidRPr="004773EB" w:rsidRDefault="009C0361" w:rsidP="004773EB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Podróż kwalifikuje się 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wtedy, gdy uczestnik faktycznie podjął działanie.</w:t>
      </w:r>
    </w:p>
    <w:p w14:paraId="1625BED1" w14:textId="77777777" w:rsidR="004773EB" w:rsidRPr="004773EB" w:rsidRDefault="004773EB" w:rsidP="004773EB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1615BE" w14:textId="77777777" w:rsidR="004773EB" w:rsidRPr="004773EB" w:rsidRDefault="004773EB" w:rsidP="004773EB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074CEE3F" w14:textId="77777777" w:rsidR="004773EB" w:rsidRPr="004773EB" w:rsidRDefault="004773EB" w:rsidP="004773EB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D5CA0A8" w14:textId="63BA6710" w:rsidR="004773EB" w:rsidRPr="004773EB" w:rsidRDefault="005A1C1F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oświadczen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ie 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wydane przez organizację przyjmującą i podpisanego przez uczestnika </w:t>
      </w:r>
      <w:r w:rsidR="009C036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(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w tym przez osoby prowadzące szkolenia, osoby wspomagające proces kształcenia, liderów grupy i decydentów oraz osobę towarzyszącą</w:t>
      </w:r>
      <w:r w:rsidR="009C036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)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w którym to oświadczeniu wyszczególniono imię i nazwisko uczestnika/osoby towarzyszącej, cel działania, a także daty jego rozpoczęcia i zakończenia.</w:t>
      </w:r>
    </w:p>
    <w:p w14:paraId="558C2898" w14:textId="7F55A075" w:rsidR="004773EB" w:rsidRPr="004773EB" w:rsidRDefault="004773EB" w:rsidP="004773EB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Ponadto, oprócz dokumentów potwierdzających, w przypadku korzystania ze zrównoważonych środków transportu (podróż z wykorzystaniem ekologicznych środków transportu): dokumentem </w:t>
      </w:r>
      <w:r w:rsidRPr="004773E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potwierdzającym będzie oświadczenie podpisane przez osobę otrzymującą dotację na pokrycie kosztów podróży. </w:t>
      </w:r>
    </w:p>
    <w:p w14:paraId="7CFE27B5" w14:textId="77777777" w:rsidR="004773EB" w:rsidRPr="004773EB" w:rsidRDefault="004773EB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3D463873" w14:textId="2C274F10" w:rsidR="004773EB" w:rsidRPr="004773EB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</w:t>
      </w:r>
      <w:r w:rsidR="00BF2114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5A1C1F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miejsce zakończenia podróży jest inne niż miejsce działania, beneficjent musi zgłosić przyczynę tej różnicy. W przypadku gdy podróż nie odbyła się lub </w:t>
      </w:r>
      <w:r w:rsidR="00952A12">
        <w:rPr>
          <w:rFonts w:ascii="Times New Roman" w:eastAsia="Calibri" w:hAnsi="Times New Roman" w:cs="Times New Roman"/>
          <w:kern w:val="0"/>
          <w:sz w:val="24"/>
          <w14:ligatures w14:val="none"/>
        </w:rPr>
        <w:t>gdy</w:t>
      </w: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została sfinansowana ze źródeł innych niż program Erasmus+, beneficjent wskazuje w swoim sprawozdaniu, że </w:t>
      </w:r>
      <w:r w:rsidR="00AB7A28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49F06A9E" w14:textId="77777777" w:rsidR="004773EB" w:rsidRPr="004773EB" w:rsidRDefault="004773EB" w:rsidP="004773EB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27371D3F" w14:textId="77777777" w:rsidR="004773EB" w:rsidRPr="004773EB" w:rsidRDefault="004773EB" w:rsidP="004773EB">
      <w:pPr>
        <w:numPr>
          <w:ilvl w:val="0"/>
          <w:numId w:val="3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0869B84E" w14:textId="22E1FE55" w:rsidR="004773EB" w:rsidRPr="004773EB" w:rsidRDefault="004773EB" w:rsidP="004773EB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liczbę dni </w:t>
      </w:r>
      <w:r w:rsidR="00AB7A2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działania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przeliczeniu na uczestnika i osobę towarzyszącą z uwzględnieniem decydentów, liderów grupy, osób prowadzących szkolenia i osób wspomagających proces kształcenia przez wkład jednostkowy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mający zastosowanie w przeliczeniu na dzień w danym kraju przyjmującym, jak określono w załączniku 3 do umowy. Można dodać dni podróży, jeżeli są one </w:t>
      </w:r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istotne</w:t>
      </w:r>
      <w:r w:rsidR="005A1C1F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dla danego działania. </w:t>
      </w:r>
    </w:p>
    <w:p w14:paraId="5AD04793" w14:textId="77777777" w:rsidR="004773EB" w:rsidRPr="004773EB" w:rsidRDefault="004773EB" w:rsidP="004773EB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0356B7EF" w14:textId="77777777" w:rsidR="004773EB" w:rsidRPr="004773EB" w:rsidRDefault="004773EB" w:rsidP="004773EB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30DB0406" w14:textId="77777777" w:rsidR="004773EB" w:rsidRPr="004773EB" w:rsidRDefault="004773EB" w:rsidP="004773EB">
      <w:pPr>
        <w:numPr>
          <w:ilvl w:val="0"/>
          <w:numId w:val="3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5D36167F" w14:textId="04EADE96" w:rsidR="004773EB" w:rsidRPr="004773EB" w:rsidRDefault="004773EB" w:rsidP="004773EB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</w:t>
      </w:r>
      <w:proofErr w:type="spellStart"/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uprawnone</w:t>
      </w:r>
      <w:proofErr w:type="spellEnd"/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)</w:t>
      </w:r>
      <w:r w:rsidR="005A1C1F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7F09E870" w14:textId="77777777" w:rsidR="004773EB" w:rsidRPr="004773EB" w:rsidRDefault="004773EB" w:rsidP="004773EB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3A271CE1" w14:textId="1C263329" w:rsidR="004773EB" w:rsidRPr="004773EB" w:rsidRDefault="005A1C1F" w:rsidP="004773EB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oświadczeni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e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podpisane przez uczestnika i organizację przyjmującą, w którym wyszczególniono imię i nazwisko uczestnika, cel działania, a także daty jego rozpoczęcia i zakończenia.</w:t>
      </w:r>
    </w:p>
    <w:p w14:paraId="098BB7E3" w14:textId="77777777" w:rsidR="004773EB" w:rsidRPr="004773EB" w:rsidRDefault="004773EB" w:rsidP="004773EB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501A3244" w14:textId="27B86D55" w:rsidR="004773EB" w:rsidRPr="004773EB" w:rsidRDefault="00BD1756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kern w:val="0"/>
          <w:sz w:val="24"/>
          <w:szCs w:val="24"/>
          <w14:ligatures w14:val="none"/>
        </w:rPr>
      </w:pPr>
      <w:bookmarkStart w:id="0" w:name="_Hlk116664147"/>
      <w:r w:rsidRPr="00BD1756">
        <w:rPr>
          <w:rFonts w:ascii="Times New Roman" w:eastAsia="Calibri" w:hAnsi="Times New Roman" w:cs="Times New Roman"/>
          <w:kern w:val="0"/>
          <w:sz w:val="24"/>
          <w:highlight w:val="yellow"/>
          <w14:ligatures w14:val="none"/>
        </w:rPr>
        <w:t>Uczestnicy, którzy wzięli udział w działaniach w zakresie mobilności, w wyjątkiem osób z  wyboru których beneficjent zrezygnował ze względu na ograniczony zakres/ograniczoną długość ich udziału w działaniach w zakresie mobilności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muszą skorzystać ze standardowego kwestionariusza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online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udostępnionego</w:t>
      </w:r>
      <w:proofErr w:type="spellEnd"/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przez Komisję Europejską (sprawozdanie uczestnika), aby przedstawić informacje faktyczne i ocenę działania w zakresie mobilności, jego przygotowania i działań następczych. </w:t>
      </w:r>
    </w:p>
    <w:bookmarkEnd w:id="0"/>
    <w:p w14:paraId="18073A64" w14:textId="77777777" w:rsidR="004773EB" w:rsidRPr="004773EB" w:rsidRDefault="004773EB" w:rsidP="004773EB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6857C014" w14:textId="77777777" w:rsidR="004773EB" w:rsidRPr="004773EB" w:rsidRDefault="004773EB" w:rsidP="004773EB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0970B07C" w14:textId="3943B9FF" w:rsidR="004773EB" w:rsidRPr="004773EB" w:rsidRDefault="004773EB" w:rsidP="004773EB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łączną liczbę uczestników w działaniach w zakresie mobilności przez mający zastosowanie wkład jednostkowy, jak określono w załączniku 3 do umowy. Osoby towarzyszące i liderzy grupy, osoby prowadzące szkolenia, osoby wspomagające proces kształcenia oraz osoby biorące udział w wizytach przygotowawczych nie są uznawane za uczestników działań w zakresie mobilności i nie są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zatem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brane pod uwagę przy obliczaniu wsparcia organizacyjnego.</w:t>
      </w:r>
    </w:p>
    <w:p w14:paraId="432F4A22" w14:textId="77777777" w:rsidR="004773EB" w:rsidRPr="004773EB" w:rsidRDefault="004773EB" w:rsidP="004773EB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5E8B1D76" w14:textId="2D914BCD" w:rsidR="005A1C1F" w:rsidRDefault="004773EB" w:rsidP="004773EB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Wsparcie organizacyjne jest </w:t>
      </w:r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</w:t>
      </w:r>
      <w:proofErr w:type="spellStart"/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uprawnone</w:t>
      </w:r>
      <w:proofErr w:type="spellEnd"/>
      <w:r w:rsidR="005A1C1F">
        <w:rPr>
          <w:rFonts w:ascii="Times New Roman" w:eastAsia="Calibri" w:hAnsi="Times New Roman" w:cs="Times New Roman"/>
          <w:kern w:val="0"/>
          <w:sz w:val="24"/>
          <w14:ligatures w14:val="none"/>
        </w:rPr>
        <w:t>)</w:t>
      </w:r>
      <w:r w:rsidR="005A1C1F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tylko wtedy, gdy uczestnik faktycznie podjął działanie. </w:t>
      </w:r>
    </w:p>
    <w:p w14:paraId="083BBFF7" w14:textId="745CE7A6" w:rsidR="004773EB" w:rsidRPr="005A1C1F" w:rsidRDefault="004773EB" w:rsidP="005A1C1F">
      <w:pPr>
        <w:pStyle w:val="Akapitzlist"/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A1C1F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77401063" w14:textId="3A15B12B" w:rsidR="004773EB" w:rsidRPr="004773EB" w:rsidRDefault="005A1C1F" w:rsidP="004773EB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1C1F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Dokumentem potwierdzającym jest oświadczenie podpisane przez uczestnika i organizację przyjmującą, w którym wyszczególniono imię i nazwisko uczestnika, cel działania, a także daty jego rozpoczęcia i zakończenia</w:t>
      </w:r>
      <w:r w:rsidR="004773EB"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.</w:t>
      </w:r>
    </w:p>
    <w:p w14:paraId="6FC1A5DD" w14:textId="77777777" w:rsidR="004773EB" w:rsidRPr="004773EB" w:rsidDel="00CD2603" w:rsidRDefault="004773EB" w:rsidP="004773EB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Sprawozdawczość: </w:t>
      </w:r>
    </w:p>
    <w:p w14:paraId="730511E2" w14:textId="77777777" w:rsidR="004773EB" w:rsidRPr="004773EB" w:rsidRDefault="004773EB" w:rsidP="005A1C1F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Koordynator musi zgłosić wszelkie działania w zakresie mobilności zrealizowane w ramach projektu, w tym działania z kraju przyjmującego.</w:t>
      </w:r>
    </w:p>
    <w:p w14:paraId="248BFC05" w14:textId="2D51CDD4" w:rsidR="004773EB" w:rsidRPr="004773EB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Liderzy grupy powinni złożyć sprawozdanie z tych działań z wykorzystaniem kwestionariusza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online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, w którym przedstawią informacje zwrotne na temat faktycznych i jakościowych elementów okresu działania, a także przygotowania do niego i działań podejmowanych po jego zakończeniu.</w:t>
      </w:r>
    </w:p>
    <w:p w14:paraId="78F970FB" w14:textId="77777777" w:rsidR="005A1C1F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4773E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1.4-1.6 </w:t>
      </w:r>
    </w:p>
    <w:p w14:paraId="29501B78" w14:textId="7EDB5475" w:rsidR="004773EB" w:rsidRPr="00595076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Nie dotyczy</w:t>
      </w:r>
      <w:r w:rsidR="005A1C1F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013A814C" w14:textId="77777777" w:rsidR="004773EB" w:rsidRPr="004773EB" w:rsidRDefault="004773EB" w:rsidP="004773EB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3C7EE4A7" w14:textId="77777777" w:rsidR="004773EB" w:rsidRPr="004773EB" w:rsidRDefault="004773EB" w:rsidP="004773EB">
      <w:pPr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6B169C4E" w14:textId="77777777" w:rsidR="004773EB" w:rsidRPr="004773EB" w:rsidRDefault="004773EB" w:rsidP="004773EB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5D774622" w14:textId="77777777" w:rsidR="004773EB" w:rsidRPr="004773EB" w:rsidRDefault="004773EB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o mniejszych szansach działań w zakresie mobilności przez mający zastosowanie wkład jednostkowy, jak określono w załączniku 3 do umowy. </w:t>
      </w:r>
    </w:p>
    <w:p w14:paraId="43CA7279" w14:textId="77777777" w:rsidR="004773EB" w:rsidRPr="004773EB" w:rsidRDefault="004773EB" w:rsidP="004773EB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89669EB" w14:textId="77777777" w:rsidR="004773EB" w:rsidRPr="004773EB" w:rsidRDefault="004773EB" w:rsidP="004773EB">
      <w:pPr>
        <w:numPr>
          <w:ilvl w:val="0"/>
          <w:numId w:val="5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4D6A2DAB" w14:textId="3651FA7C" w:rsidR="004773EB" w:rsidRPr="004773EB" w:rsidRDefault="004773EB" w:rsidP="004773EB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Wsparcie włączenia dla organizacji wypłaca się tylko wtedy, gdy dany uczestnik faktycznie podjął działanie a organizacja uczestnicząca zorganizowała działania w zakresie mobilności tego uczestnika.</w:t>
      </w:r>
    </w:p>
    <w:p w14:paraId="7D66D607" w14:textId="77777777" w:rsidR="004773EB" w:rsidRPr="004773EB" w:rsidRDefault="004773EB" w:rsidP="004773EB">
      <w:pPr>
        <w:numPr>
          <w:ilvl w:val="0"/>
          <w:numId w:val="5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D2DD3BC" w14:textId="020330EE" w:rsidR="004773EB" w:rsidRPr="004773EB" w:rsidRDefault="000E20C6" w:rsidP="004773EB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Dokumentem potwierdzającym jest 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oświadczeni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podpisane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przez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organizację przyjmującą , w którym wyszczególniono imię i nazwisko uczestnika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cel działania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>, a także daty jego rozpoczęcia i zakończenia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220C39E" w14:textId="0622A7D7" w:rsidR="004773EB" w:rsidRDefault="004773EB" w:rsidP="004773EB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Ponadto: dokumentacja określona przez </w:t>
      </w:r>
      <w:r w:rsidR="000E20C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</w:t>
      </w:r>
      <w:r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gencję </w:t>
      </w:r>
      <w:r w:rsidR="000E20C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</w:t>
      </w:r>
      <w:r w:rsidRPr="004773E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arodową jako dopuszczalny dowód na to, że uczestnik należy do jednej z kategorii osób o mniejszych szansach wymienionych w przewodniku po programie.</w:t>
      </w:r>
    </w:p>
    <w:p w14:paraId="0EE3C750" w14:textId="476EA600" w:rsidR="000E20C6" w:rsidRPr="000E20C6" w:rsidRDefault="000E20C6" w:rsidP="004773EB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0E20C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lastRenderedPageBreak/>
        <w:t>1.8 -1.9</w:t>
      </w:r>
    </w:p>
    <w:p w14:paraId="40477DF2" w14:textId="046F1D6D" w:rsidR="000E20C6" w:rsidRPr="00595076" w:rsidRDefault="000E20C6" w:rsidP="004773EB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59507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Nie dotyczy.</w:t>
      </w:r>
    </w:p>
    <w:p w14:paraId="0DFD42AB" w14:textId="77777777" w:rsidR="004773EB" w:rsidRPr="004773EB" w:rsidRDefault="004773EB" w:rsidP="004773EB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1.10 Wizyty przygotowawcze</w:t>
      </w:r>
    </w:p>
    <w:p w14:paraId="47F34B6C" w14:textId="77777777" w:rsidR="004773EB" w:rsidRPr="004773EB" w:rsidRDefault="004773EB" w:rsidP="004773EB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jednostkowego:</w:t>
      </w:r>
    </w:p>
    <w:p w14:paraId="5BA15C01" w14:textId="77777777" w:rsidR="004773EB" w:rsidRPr="004773EB" w:rsidRDefault="004773EB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5853702C" w14:textId="77777777" w:rsidR="004773EB" w:rsidRPr="004773EB" w:rsidRDefault="004773EB" w:rsidP="004773EB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0331B6" w14:textId="77777777" w:rsidR="004773EB" w:rsidRPr="004773EB" w:rsidRDefault="004773EB" w:rsidP="004773EB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5996D1E8" w14:textId="7A8DA3B1" w:rsidR="004773EB" w:rsidRPr="004773EB" w:rsidRDefault="004773EB" w:rsidP="004773EB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Wkład jednostkowy na wizytę przygotowawczą </w:t>
      </w:r>
      <w:r w:rsidR="000E20C6">
        <w:rPr>
          <w:rFonts w:ascii="Times New Roman" w:eastAsia="Calibri" w:hAnsi="Times New Roman" w:cs="Times New Roman"/>
          <w:kern w:val="0"/>
          <w:sz w:val="24"/>
          <w14:ligatures w14:val="none"/>
        </w:rPr>
        <w:t>jest kwalifikowalny (uprawniony)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, gdy dany uczestnik faktycznie wziął udział w wizycie przygotowawczej.</w:t>
      </w:r>
    </w:p>
    <w:p w14:paraId="09FF935E" w14:textId="77777777" w:rsidR="004773EB" w:rsidRPr="004773EB" w:rsidRDefault="004773EB" w:rsidP="004773EB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2CC527B6" w14:textId="3B792BCE" w:rsidR="004773EB" w:rsidRDefault="000E20C6" w:rsidP="471D68A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471D68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Dokumentem potwierdzającym jest wypełniony program </w:t>
      </w:r>
      <w:r w:rsidR="004773EB" w:rsidRPr="471D68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spotkania, zawierając</w:t>
      </w:r>
      <w:r w:rsidRPr="471D68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="004773EB" w:rsidRPr="471D68A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imiona i nazwiska osób przyjeżdżających, podpisany przez osoby przyjeżdżające i organizację przyjmującą. </w:t>
      </w:r>
    </w:p>
    <w:p w14:paraId="3C5983FD" w14:textId="77777777" w:rsidR="00595076" w:rsidRDefault="00595076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3B57603E" w14:textId="77777777" w:rsidR="00595076" w:rsidRPr="004773EB" w:rsidRDefault="00595076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22912B30" w14:textId="77777777" w:rsidR="004773EB" w:rsidRPr="004773EB" w:rsidRDefault="004773EB" w:rsidP="004773EB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3632A183" w14:textId="77777777" w:rsidR="004773EB" w:rsidRPr="004773EB" w:rsidRDefault="004773EB" w:rsidP="004773EB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4F6AE698" w14:textId="77777777" w:rsidR="004773EB" w:rsidRPr="004773EB" w:rsidRDefault="004773EB" w:rsidP="004773EB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531D4469" w14:textId="77777777" w:rsidR="004773EB" w:rsidRPr="004773EB" w:rsidRDefault="004773EB" w:rsidP="004773EB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24D65F44" w14:textId="77777777" w:rsidR="004773EB" w:rsidRPr="004773EB" w:rsidRDefault="004773EB" w:rsidP="004773EB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4F11757D" w14:textId="6910FB65" w:rsidR="004773EB" w:rsidRPr="004773EB" w:rsidRDefault="004773EB" w:rsidP="004773EB">
      <w:pPr>
        <w:tabs>
          <w:tab w:val="left" w:pos="0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koszty bezpośrednio związane z uczestnikami o mniejszych szansach i osobami im towarzyszącymi. Jeżeli 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>dana osoba</w:t>
      </w:r>
      <w:r w:rsidR="00BD1756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występuje o zwrot kosztów podróży i wsparcia indywidualnego w ramach tej kategorii budżetu, nie można wnioskować o wkład jednostkowy w odniesieniu do tych kategorii dla t</w:t>
      </w:r>
      <w:r w:rsidR="00BD1756">
        <w:rPr>
          <w:rFonts w:ascii="Times New Roman" w:eastAsia="Calibri" w:hAnsi="Times New Roman" w:cs="Times New Roman"/>
          <w:kern w:val="0"/>
          <w:sz w:val="24"/>
          <w14:ligatures w14:val="none"/>
        </w:rPr>
        <w:t>ej samej osoby.</w:t>
      </w:r>
    </w:p>
    <w:p w14:paraId="6BD528AE" w14:textId="77777777" w:rsidR="004773EB" w:rsidRPr="004773EB" w:rsidRDefault="004773EB" w:rsidP="000E20C6">
      <w:pPr>
        <w:numPr>
          <w:ilvl w:val="0"/>
          <w:numId w:val="10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B86871B" w14:textId="4B8933D9" w:rsidR="004773EB" w:rsidRPr="004773EB" w:rsidRDefault="000E6ADE" w:rsidP="004773EB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dowód zapłaty powiązanych kosztów na podstawie faktur</w:t>
      </w:r>
      <w:r w:rsidR="004773EB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E657E9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E657E9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4773EB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22FA063B" w14:textId="77777777" w:rsidR="004773EB" w:rsidRPr="004773EB" w:rsidRDefault="004773EB" w:rsidP="00595076">
      <w:pPr>
        <w:numPr>
          <w:ilvl w:val="0"/>
          <w:numId w:val="10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lastRenderedPageBreak/>
        <w:t>Sprawozdawczość: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CCDBCCE" w14:textId="77777777" w:rsidR="004773EB" w:rsidRPr="004773EB" w:rsidRDefault="004773EB" w:rsidP="004773EB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2BD10D98" w14:textId="77777777" w:rsidR="004773EB" w:rsidRPr="004773EB" w:rsidRDefault="004773EB" w:rsidP="004773EB">
      <w:pPr>
        <w:keepNext/>
        <w:keepLines/>
        <w:numPr>
          <w:ilvl w:val="1"/>
          <w:numId w:val="9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4773EB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0E034348" w14:textId="77777777" w:rsidR="004773EB" w:rsidRPr="004773EB" w:rsidRDefault="004773EB" w:rsidP="004773EB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2E38EA70" w14:textId="77777777" w:rsidR="004773EB" w:rsidRPr="004773EB" w:rsidRDefault="004773EB" w:rsidP="004773EB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588696E3" w14:textId="77777777" w:rsidR="004773EB" w:rsidRPr="004773EB" w:rsidRDefault="004773EB" w:rsidP="004773EB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3E577841" w14:textId="7C7FD5C6" w:rsidR="004773EB" w:rsidRPr="000E20C6" w:rsidRDefault="004773EB" w:rsidP="004773EB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0E20C6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0E20C6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35F79E43" w14:textId="6996E3B9" w:rsidR="000E20C6" w:rsidRPr="004773EB" w:rsidRDefault="000E20C6" w:rsidP="004773EB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0E20C6">
        <w:rPr>
          <w:rFonts w:ascii="Times New Roman" w:eastAsia="SimSun" w:hAnsi="Times New Roman" w:cs="Times New Roman"/>
          <w:kern w:val="0"/>
          <w:sz w:val="24"/>
          <w14:ligatures w14:val="none"/>
        </w:rPr>
        <w:t xml:space="preserve">Wysokie koszty podróży: koszty podróży w najkorzystniejszy ekonomicznie a zarazem efektywny sposób, jeżeli wkład jednostkowy nie pokrywa co najmniej 70 % </w:t>
      </w:r>
      <w:r w:rsidR="00C41C53">
        <w:rPr>
          <w:rFonts w:ascii="Times New Roman" w:eastAsia="SimSun" w:hAnsi="Times New Roman" w:cs="Times New Roman"/>
          <w:kern w:val="0"/>
          <w:sz w:val="24"/>
          <w14:ligatures w14:val="none"/>
        </w:rPr>
        <w:t>wsparcie</w:t>
      </w:r>
      <w:r w:rsidRPr="000E20C6">
        <w:rPr>
          <w:rFonts w:ascii="Times New Roman" w:eastAsia="SimSun" w:hAnsi="Times New Roman" w:cs="Times New Roman"/>
          <w:kern w:val="0"/>
          <w:sz w:val="24"/>
          <w14:ligatures w14:val="none"/>
        </w:rPr>
        <w:t xml:space="preserve"> podróży.</w:t>
      </w:r>
      <w:r w:rsidR="007754A0" w:rsidRPr="007754A0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  <w:t xml:space="preserve"> </w:t>
      </w:r>
      <w:r w:rsidR="007754A0" w:rsidRPr="007754A0">
        <w:rPr>
          <w:rFonts w:ascii="Times New Roman" w:eastAsia="SimSun" w:hAnsi="Times New Roman" w:cs="Times New Roman"/>
          <w:kern w:val="0"/>
          <w:sz w:val="24"/>
          <w14:ligatures w14:val="none"/>
        </w:rPr>
        <w:t xml:space="preserve">Koszty nadzwyczajne związane z wysokimi kosztami podróży zastępują </w:t>
      </w:r>
      <w:r w:rsidR="00BD1756">
        <w:rPr>
          <w:rFonts w:ascii="Times New Roman" w:eastAsia="SimSun" w:hAnsi="Times New Roman" w:cs="Times New Roman"/>
          <w:kern w:val="0"/>
          <w:sz w:val="24"/>
          <w14:ligatures w14:val="none"/>
        </w:rPr>
        <w:t>dofinansowanie kosztów podróży</w:t>
      </w:r>
      <w:r w:rsidR="007754A0" w:rsidRPr="007754A0">
        <w:rPr>
          <w:rFonts w:ascii="Times New Roman" w:eastAsia="SimSun" w:hAnsi="Times New Roman" w:cs="Times New Roman"/>
          <w:kern w:val="0"/>
          <w:sz w:val="24"/>
          <w14:ligatures w14:val="none"/>
        </w:rPr>
        <w:t>.  </w:t>
      </w:r>
    </w:p>
    <w:p w14:paraId="3CAD1DC5" w14:textId="77777777" w:rsidR="004773EB" w:rsidRPr="004773EB" w:rsidRDefault="004773EB" w:rsidP="004773E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4773EB">
        <w:rPr>
          <w:rFonts w:ascii="Times New Roman" w:eastAsia="Times New Roman" w:hAnsi="Times New Roman" w:cs="Times New Roman"/>
          <w:kern w:val="0"/>
          <w:sz w:val="24"/>
          <w14:ligatures w14:val="none"/>
        </w:rPr>
        <w:t>Koszty wiz i koszty związane z otrzymaniem wiz, koszty zezwoleń na pobyt, szczepień i zaświadczeń lekarskich.</w:t>
      </w:r>
    </w:p>
    <w:p w14:paraId="585BE555" w14:textId="77777777" w:rsidR="004773EB" w:rsidRPr="004773EB" w:rsidRDefault="004773EB" w:rsidP="004773EB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79D4C1" w14:textId="77777777" w:rsidR="004773EB" w:rsidRPr="004773EB" w:rsidRDefault="004773EB" w:rsidP="004773E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4773E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54E3D903" w14:textId="77777777" w:rsidR="004773EB" w:rsidRPr="004773EB" w:rsidRDefault="004773EB" w:rsidP="004773EB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092D51" w14:textId="786BB206" w:rsidR="004773EB" w:rsidRPr="004773EB" w:rsidRDefault="00BD1756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W przypadku gwarancji dotyczącej płatności zaliczkowych: d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owód poniesienia kosztów związanych z 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gwarancją finansową, w  którym 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wyszczególniono nazwę i adres </w:t>
      </w:r>
      <w:r w:rsidR="00E657E9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E657E9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udzielającego gwarancji, 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>kwotę i walutę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gwarancji oraz datę jej udzielenia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oraz który opatrzono datą i podpisem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przedstawiciela prawnego </w:t>
      </w:r>
      <w:r w:rsidR="00E657E9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udzielającego gwarancji.</w:t>
      </w:r>
      <w:r w:rsidR="004773EB" w:rsidRPr="004773E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2F1C657A" w14:textId="77777777" w:rsidR="004773EB" w:rsidRPr="004773EB" w:rsidRDefault="004773EB" w:rsidP="004773EB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6DC61F" w14:textId="56998883" w:rsidR="004773EB" w:rsidRPr="00595076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wysokich kosztów podróży: </w:t>
      </w:r>
      <w:r w:rsidR="000E6ADE" w:rsidRPr="005950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dowód zapłaty powiązanych kosztów na podstawie faktur</w:t>
      </w:r>
      <w:r w:rsidRPr="00595076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, w których to fakturach wyszczególniono nazwę i adres </w:t>
      </w:r>
      <w:r w:rsidR="00E657E9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podmiotu</w:t>
      </w:r>
      <w:r w:rsidRPr="00595076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wystawiającego fakturę, kwotę i walutę, datę wystawienia faktury i trasę podróży.</w:t>
      </w:r>
    </w:p>
    <w:p w14:paraId="61567411" w14:textId="58AAE75E" w:rsidR="004773EB" w:rsidRPr="004773EB" w:rsidRDefault="004773EB" w:rsidP="004773E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kosztów 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>wiz i kosztów związanych z otrzymaniem wiz, kosztów</w: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begin"/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instrText xml:space="preserve"> LISTNUM </w:instrText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end">
          <w:numberingChange w:id="1" w:author="Barbara Drzewicka" w:date="2025-05-12T23:55:00Z" w16du:dateUtc="2025-05-12T21:55:00Z" w:original="d)"/>
        </w:fldChar>
      </w:r>
      <w:r w:rsidR="00CA12A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zezwoleń na pobyt, szczepień i zaświadczeń lekarskich: faktury stanowiące dowód opłacenia powiązanych kosztów, w których </w:t>
      </w: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fakturach wyszczególniono nazwę i adres </w:t>
      </w:r>
      <w:r w:rsidR="00E657E9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E657E9"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95076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faktury.</w:t>
      </w:r>
    </w:p>
    <w:p w14:paraId="4CAFA417" w14:textId="77777777" w:rsidR="004773EB" w:rsidRPr="004773EB" w:rsidRDefault="004773EB" w:rsidP="004773E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36E020" w14:textId="77777777" w:rsidR="004773EB" w:rsidRPr="004773EB" w:rsidRDefault="004773EB" w:rsidP="004773E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F171FD" w14:textId="77777777" w:rsidR="00A05DE9" w:rsidRDefault="00A05DE9"/>
    <w:sectPr w:rsidR="00A05DE9" w:rsidSect="00477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267B" w14:textId="77777777" w:rsidR="004D66AC" w:rsidRDefault="004D66AC">
      <w:pPr>
        <w:spacing w:after="0" w:line="240" w:lineRule="auto"/>
      </w:pPr>
      <w:r>
        <w:separator/>
      </w:r>
    </w:p>
  </w:endnote>
  <w:endnote w:type="continuationSeparator" w:id="0">
    <w:p w14:paraId="06AD76EE" w14:textId="77777777" w:rsidR="004D66AC" w:rsidRDefault="004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F863" w14:textId="77777777" w:rsidR="009C1C4C" w:rsidRDefault="009C1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77D7" w14:textId="77777777" w:rsidR="009C1C4C" w:rsidRPr="004773EB" w:rsidRDefault="009C1C4C">
    <w:pPr>
      <w:pStyle w:val="Stopka"/>
      <w:rPr>
        <w:rFonts w:ascii="Calibri Light" w:eastAsia="Times New Roman" w:hAnsi="Calibri Light" w:cs="Times New Roman"/>
        <w:sz w:val="20"/>
        <w:szCs w:val="20"/>
      </w:rPr>
    </w:pPr>
    <w:r w:rsidRPr="001F7A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B479E" wp14:editId="458757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2F480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1F7A42">
      <w:t xml:space="preserve"> </w:t>
    </w:r>
    <w:r w:rsidRPr="004773EB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4773EB">
      <w:rPr>
        <w:rFonts w:eastAsia="Times New Roman"/>
        <w:sz w:val="20"/>
        <w:szCs w:val="20"/>
      </w:rPr>
      <w:fldChar w:fldCharType="begin"/>
    </w:r>
    <w:r w:rsidRPr="001F7A42">
      <w:rPr>
        <w:sz w:val="20"/>
        <w:szCs w:val="20"/>
      </w:rPr>
      <w:instrText>PAGE    \* MERGEFORMAT</w:instrText>
    </w:r>
    <w:r w:rsidRPr="004773EB">
      <w:rPr>
        <w:rFonts w:eastAsia="Times New Roman"/>
        <w:sz w:val="20"/>
        <w:szCs w:val="20"/>
      </w:rPr>
      <w:fldChar w:fldCharType="separate"/>
    </w:r>
    <w:r w:rsidRPr="004773EB">
      <w:rPr>
        <w:rFonts w:ascii="Calibri Light" w:eastAsia="Times New Roman" w:hAnsi="Calibri Light" w:cs="Times New Roman"/>
        <w:sz w:val="20"/>
        <w:szCs w:val="20"/>
      </w:rPr>
      <w:t>2</w:t>
    </w:r>
    <w:r w:rsidRPr="004773EB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098763E0" w14:textId="77777777" w:rsidR="009C1C4C" w:rsidRDefault="009C1C4C" w:rsidP="00670042">
    <w:pPr>
      <w:pStyle w:val="Stopka"/>
      <w:rPr>
        <w:rFonts w:cs="Times New Roman"/>
        <w:color w:val="000000"/>
        <w:sz w:val="20"/>
        <w:szCs w:val="20"/>
      </w:rPr>
    </w:pPr>
    <w:r w:rsidRPr="00670042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2A0F4A04" w14:textId="77777777" w:rsidR="009C1C4C" w:rsidRDefault="009C1C4C" w:rsidP="00670042">
    <w:pPr>
      <w:pStyle w:val="Stopka"/>
    </w:pPr>
    <w:r w:rsidRPr="00670042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E27D" w14:textId="77777777" w:rsidR="009C1C4C" w:rsidRDefault="009C1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0809" w14:textId="77777777" w:rsidR="004D66AC" w:rsidRDefault="004D66AC">
      <w:pPr>
        <w:spacing w:after="0" w:line="240" w:lineRule="auto"/>
      </w:pPr>
      <w:r>
        <w:separator/>
      </w:r>
    </w:p>
  </w:footnote>
  <w:footnote w:type="continuationSeparator" w:id="0">
    <w:p w14:paraId="46A6AA77" w14:textId="77777777" w:rsidR="004D66AC" w:rsidRDefault="004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CFF8" w14:textId="77777777" w:rsidR="009C1C4C" w:rsidRDefault="009C1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5C61" w14:textId="77777777" w:rsidR="009C1C4C" w:rsidRDefault="009C1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AA5F" w14:textId="77777777" w:rsidR="009C1C4C" w:rsidRDefault="009C1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9DF2D108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6C12F03"/>
    <w:multiLevelType w:val="hybridMultilevel"/>
    <w:tmpl w:val="01F45CE4"/>
    <w:lvl w:ilvl="0" w:tplc="2BC44D24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302"/>
    <w:multiLevelType w:val="hybridMultilevel"/>
    <w:tmpl w:val="92E2937A"/>
    <w:lvl w:ilvl="0" w:tplc="560EDCD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8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69131">
    <w:abstractNumId w:val="0"/>
  </w:num>
  <w:num w:numId="2" w16cid:durableId="27072871">
    <w:abstractNumId w:val="4"/>
  </w:num>
  <w:num w:numId="3" w16cid:durableId="1587499974">
    <w:abstractNumId w:val="3"/>
  </w:num>
  <w:num w:numId="4" w16cid:durableId="1277978396">
    <w:abstractNumId w:val="6"/>
  </w:num>
  <w:num w:numId="5" w16cid:durableId="495347084">
    <w:abstractNumId w:val="7"/>
  </w:num>
  <w:num w:numId="6" w16cid:durableId="1468280256">
    <w:abstractNumId w:val="5"/>
  </w:num>
  <w:num w:numId="7" w16cid:durableId="1226263576">
    <w:abstractNumId w:val="2"/>
  </w:num>
  <w:num w:numId="8" w16cid:durableId="945969187">
    <w:abstractNumId w:val="9"/>
  </w:num>
  <w:num w:numId="9" w16cid:durableId="1824468106">
    <w:abstractNumId w:val="8"/>
  </w:num>
  <w:num w:numId="10" w16cid:durableId="4056115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Drzewicka">
    <w15:presenceInfo w15:providerId="AD" w15:userId="S::bdrzewicka@frse.org.pl::f7d119ce-da6b-4dad-9319-05b5541a5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EB"/>
    <w:rsid w:val="000E20C6"/>
    <w:rsid w:val="000E6ADE"/>
    <w:rsid w:val="002464F7"/>
    <w:rsid w:val="00276D0D"/>
    <w:rsid w:val="004773EB"/>
    <w:rsid w:val="004D66AC"/>
    <w:rsid w:val="00595076"/>
    <w:rsid w:val="005A1C1F"/>
    <w:rsid w:val="00665AF1"/>
    <w:rsid w:val="0069576F"/>
    <w:rsid w:val="007754A0"/>
    <w:rsid w:val="008B507F"/>
    <w:rsid w:val="008B6632"/>
    <w:rsid w:val="008D04F8"/>
    <w:rsid w:val="009001AB"/>
    <w:rsid w:val="00952A12"/>
    <w:rsid w:val="009C0361"/>
    <w:rsid w:val="009C1C4C"/>
    <w:rsid w:val="00A05DE9"/>
    <w:rsid w:val="00A627DF"/>
    <w:rsid w:val="00AB7A28"/>
    <w:rsid w:val="00AC01EA"/>
    <w:rsid w:val="00BD1756"/>
    <w:rsid w:val="00BF2114"/>
    <w:rsid w:val="00C41C53"/>
    <w:rsid w:val="00C55880"/>
    <w:rsid w:val="00C83170"/>
    <w:rsid w:val="00CA12AD"/>
    <w:rsid w:val="00E06AC6"/>
    <w:rsid w:val="00E657E9"/>
    <w:rsid w:val="00F96FFB"/>
    <w:rsid w:val="00FD592E"/>
    <w:rsid w:val="099E71D3"/>
    <w:rsid w:val="471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4850"/>
  <w15:chartTrackingRefBased/>
  <w15:docId w15:val="{879289F8-273E-4ABC-A848-2AA45F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3E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47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EB"/>
  </w:style>
  <w:style w:type="paragraph" w:styleId="Stopka">
    <w:name w:val="footer"/>
    <w:basedOn w:val="Normalny"/>
    <w:link w:val="StopkaZnak"/>
    <w:uiPriority w:val="99"/>
    <w:semiHidden/>
    <w:unhideWhenUsed/>
    <w:rsid w:val="0047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EB"/>
  </w:style>
  <w:style w:type="paragraph" w:styleId="Poprawka">
    <w:name w:val="Revision"/>
    <w:hidden/>
    <w:uiPriority w:val="99"/>
    <w:semiHidden/>
    <w:rsid w:val="008D04F8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1685</Words>
  <Characters>10116</Characters>
  <Application>Microsoft Office Word</Application>
  <DocSecurity>0</DocSecurity>
  <Lines>84</Lines>
  <Paragraphs>23</Paragraphs>
  <ScaleCrop>false</ScaleCrop>
  <Company>Fundacja Rozwoju Systemu Edukacji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2025-04-29T15:59:00Z</dcterms:created>
  <dcterms:modified xsi:type="dcterms:W3CDTF">2025-05-12T21:55:00Z</dcterms:modified>
</cp:coreProperties>
</file>