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7CA3" w14:textId="77777777" w:rsidR="004449D4" w:rsidRPr="004449D4" w:rsidRDefault="004449D4" w:rsidP="004449D4">
      <w:pPr>
        <w:keepNext/>
        <w:keepLines/>
        <w:spacing w:before="200" w:after="60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4449D4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ZAŁĄCZNIK 2 – OBOWIĄZUJĄCE PRZEPISY ZWIĄZANE Z KWALIFIKOWALNOŚCIĄ KOSZTÓW I WKŁADÓW</w:t>
      </w:r>
    </w:p>
    <w:p w14:paraId="556D3F0C" w14:textId="77777777" w:rsidR="004449D4" w:rsidRPr="004449D4" w:rsidRDefault="004449D4" w:rsidP="004449D4">
      <w:pPr>
        <w:keepNext/>
        <w:keepLines/>
        <w:spacing w:before="200" w:after="60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4449D4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KA 182</w:t>
      </w:r>
      <w:r w:rsidRPr="004449D4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br/>
        <w:t>(SPO)</w:t>
      </w:r>
    </w:p>
    <w:p w14:paraId="5B189449" w14:textId="77777777" w:rsidR="004449D4" w:rsidRPr="004449D4" w:rsidRDefault="004449D4" w:rsidP="004449D4">
      <w:pPr>
        <w:keepNext/>
        <w:keepLines/>
        <w:numPr>
          <w:ilvl w:val="0"/>
          <w:numId w:val="8"/>
        </w:numPr>
        <w:spacing w:before="200" w:after="200" w:line="240" w:lineRule="auto"/>
        <w:jc w:val="both"/>
        <w:outlineLvl w:val="0"/>
        <w:rPr>
          <w:rFonts w:ascii="Times New Roman Bold" w:eastAsia="Calibri" w:hAnsi="Times New Roman Bold" w:cs="Times New Roman"/>
          <w:b/>
          <w:bCs/>
          <w:smallCaps/>
          <w:kern w:val="0"/>
          <w:szCs w:val="28"/>
          <w:u w:val="single"/>
          <w14:ligatures w14:val="none"/>
        </w:rPr>
      </w:pPr>
      <w:r w:rsidRPr="004449D4">
        <w:rPr>
          <w:rFonts w:ascii="Times New Roman Bold" w:eastAsia="Times New Roman" w:hAnsi="Times New Roman Bold" w:cs="Times New Roman"/>
          <w:b/>
          <w:bCs/>
          <w:smallCaps/>
          <w:kern w:val="0"/>
          <w:szCs w:val="28"/>
          <w:u w:val="single"/>
          <w14:ligatures w14:val="none"/>
        </w:rPr>
        <w:t xml:space="preserve">Wkłady jednostkowe </w:t>
      </w:r>
    </w:p>
    <w:p w14:paraId="58FDA80F" w14:textId="77777777" w:rsidR="004449D4" w:rsidRPr="004449D4" w:rsidRDefault="004449D4" w:rsidP="004449D4">
      <w:pPr>
        <w:spacing w:after="200" w:line="259" w:lineRule="auto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4449D4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1.1 Podróż</w:t>
      </w:r>
    </w:p>
    <w:p w14:paraId="162524BD" w14:textId="77777777" w:rsidR="004449D4" w:rsidRPr="004449D4" w:rsidRDefault="004449D4" w:rsidP="004449D4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4449D4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Miejsce pochodzenia</w:t>
      </w: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: miejsce, w którym znajduje się organizacja wysyłająca</w:t>
      </w:r>
      <w:r w:rsidRPr="004449D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29FF1F9B" w14:textId="77777777" w:rsidR="004449D4" w:rsidRPr="004449D4" w:rsidRDefault="004449D4" w:rsidP="004449D4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b/>
          <w:bCs/>
          <w:kern w:val="0"/>
          <w14:ligatures w14:val="none"/>
        </w:rPr>
        <w:t>Zrównoważone środki transportu:</w:t>
      </w:r>
      <w:r w:rsidRPr="004449D4">
        <w:rPr>
          <w:rFonts w:ascii="Times New Roman" w:eastAsia="Calibri" w:hAnsi="Times New Roman" w:cs="Times New Roman"/>
          <w:kern w:val="0"/>
          <w14:ligatures w14:val="none"/>
        </w:rPr>
        <w:t xml:space="preserve"> rower, autobus, </w:t>
      </w:r>
      <w:bookmarkStart w:id="0" w:name="_Hlk166844898"/>
      <w:r w:rsidRPr="004449D4">
        <w:rPr>
          <w:rFonts w:ascii="Times New Roman" w:eastAsia="Calibri" w:hAnsi="Times New Roman" w:cs="Times New Roman"/>
          <w:kern w:val="0"/>
          <w14:ligatures w14:val="none"/>
        </w:rPr>
        <w:t>car-</w:t>
      </w:r>
      <w:proofErr w:type="spellStart"/>
      <w:r w:rsidRPr="004449D4">
        <w:rPr>
          <w:rFonts w:ascii="Times New Roman" w:eastAsia="Calibri" w:hAnsi="Times New Roman" w:cs="Times New Roman"/>
          <w:kern w:val="0"/>
          <w14:ligatures w14:val="none"/>
        </w:rPr>
        <w:t>pooling</w:t>
      </w:r>
      <w:proofErr w:type="spellEnd"/>
      <w:r w:rsidRPr="004449D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bookmarkStart w:id="1" w:name="_Hlk166845047"/>
      <w:r w:rsidRPr="004449D4">
        <w:rPr>
          <w:rFonts w:ascii="Times New Roman" w:eastAsia="Calibri" w:hAnsi="Times New Roman" w:cs="Times New Roman"/>
          <w:kern w:val="0"/>
          <w14:ligatures w14:val="none"/>
        </w:rPr>
        <w:t xml:space="preserve">(tj. wspólne przejazdy samochodem co najmniej dwóch pasażerów, gdzie kierowca dzieli koszty na paliwo wspólnie z pasażerem/pasażerami) </w:t>
      </w:r>
      <w:bookmarkEnd w:id="0"/>
      <w:bookmarkEnd w:id="1"/>
      <w:r w:rsidRPr="004449D4">
        <w:rPr>
          <w:rFonts w:ascii="Times New Roman" w:eastAsia="Calibri" w:hAnsi="Times New Roman" w:cs="Times New Roman"/>
          <w:kern w:val="0"/>
          <w14:ligatures w14:val="none"/>
        </w:rPr>
        <w:t>i pociąg.</w:t>
      </w:r>
      <w:r w:rsidRPr="004449D4">
        <w:rPr>
          <w:rFonts w:ascii="Times New Roman" w:eastAsia="Calibri" w:hAnsi="Times New Roman" w:cs="Arial"/>
          <w:kern w:val="0"/>
          <w:szCs w:val="22"/>
          <w14:ligatures w14:val="none"/>
        </w:rPr>
        <w:t xml:space="preserve"> Statek będzie uważany za ekologiczny środek transportu tylko w połączeniu z innym niskoemisyjnym środkiem transportu.</w:t>
      </w:r>
      <w:r w:rsidRPr="004449D4">
        <w:rPr>
          <w:rFonts w:ascii="Times New Roman" w:eastAsia="Calibri" w:hAnsi="Times New Roman" w:cs="Times New Roman"/>
          <w:kern w:val="0"/>
          <w14:ligatures w14:val="none"/>
        </w:rPr>
        <w:t xml:space="preserve"> Agencja </w:t>
      </w:r>
      <w:r w:rsidRPr="004449D4">
        <w:rPr>
          <w:rFonts w:ascii="Times New Roman" w:eastAsia="Calibri" w:hAnsi="Times New Roman" w:cs="Times New Roman"/>
          <w14:ligatures w14:val="none"/>
        </w:rPr>
        <w:t>n</w:t>
      </w:r>
      <w:r w:rsidRPr="004449D4">
        <w:rPr>
          <w:rFonts w:ascii="Times New Roman" w:eastAsia="Calibri" w:hAnsi="Times New Roman" w:cs="Times New Roman"/>
          <w:kern w:val="0"/>
          <w14:ligatures w14:val="none"/>
        </w:rPr>
        <w:t xml:space="preserve">arodowa może uznać inne środki transportu za zrównoważone w oparciu o utrwaloną praktykę, indywidualnie dla każdego przypadku. </w:t>
      </w:r>
    </w:p>
    <w:p w14:paraId="3B6C58F2" w14:textId="77777777" w:rsidR="004449D4" w:rsidRPr="004449D4" w:rsidRDefault="004449D4" w:rsidP="004449D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Wkład jednostkowy na podróż zrównoważonymi środkami transportu (podróż z wykorzystaniem ekologicznych środków transportu) jest kwalifikowalny, jeżeli co najmniej połowę podróży w obie strony odbyto zrównoważonymi środkami transportu</w:t>
      </w:r>
      <w:r w:rsidRPr="004449D4">
        <w:rPr>
          <w:rFonts w:ascii="Times New Roman" w:eastAsia="Times New Roman" w:hAnsi="Times New Roman" w:cs="Times New Roman"/>
          <w:lang w:eastAsia="zh-CN"/>
          <w14:ligatures w14:val="none"/>
        </w:rPr>
        <w:t xml:space="preserve"> (pod względem przebytej odległości wyrażoną w kilometrach )</w:t>
      </w:r>
      <w:r w:rsidRPr="004449D4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</w:t>
      </w:r>
    </w:p>
    <w:p w14:paraId="469D1B5F" w14:textId="77777777" w:rsidR="004449D4" w:rsidRPr="004449D4" w:rsidRDefault="004449D4" w:rsidP="004449D4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Wkład jednostkowy w przeliczeniu na przedział odległości</w:t>
      </w:r>
      <w:r w:rsidRPr="004449D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</w:t>
      </w: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koszt podróży w obie strony między miejscem wyjazdu, a miejscem przyjazdu.</w:t>
      </w:r>
    </w:p>
    <w:p w14:paraId="142FF517" w14:textId="77777777" w:rsidR="004449D4" w:rsidRPr="004449D4" w:rsidRDefault="004449D4" w:rsidP="004449D4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b/>
          <w:bCs/>
          <w:kern w:val="0"/>
          <w14:ligatures w14:val="none"/>
        </w:rPr>
        <w:t>Miejsce działania</w:t>
      </w:r>
      <w:r w:rsidRPr="004449D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</w:t>
      </w:r>
      <w:r w:rsidRPr="004449D4">
        <w:rPr>
          <w:rFonts w:ascii="Times New Roman" w:eastAsia="Calibri" w:hAnsi="Times New Roman" w:cs="Times New Roman"/>
          <w:kern w:val="0"/>
          <w14:ligatures w14:val="none"/>
        </w:rPr>
        <w:t>miejsce, w którym znajduje się organizacja przyjmująca</w:t>
      </w:r>
      <w:r w:rsidRPr="004449D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4449D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EDA2436" w14:textId="77777777" w:rsidR="004449D4" w:rsidRPr="004449D4" w:rsidRDefault="004449D4" w:rsidP="004449D4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zgłoszenia innego miejsca pochodzenia lub miejsca działania beneficjent musi uzasadnić taką zmianę.</w:t>
      </w:r>
    </w:p>
    <w:p w14:paraId="61ABEF93" w14:textId="77777777" w:rsidR="004449D4" w:rsidRPr="004449D4" w:rsidRDefault="004449D4" w:rsidP="004449D4">
      <w:pPr>
        <w:spacing w:after="200" w:line="259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Czas podróży nie będzie brany pod uwagę przy ustalaniu zgodności z minimalnym kwalifikowalnym czasem trwania działań w zakresie mobilności określonym w „Przewodniku po programie”. </w:t>
      </w:r>
    </w:p>
    <w:p w14:paraId="1C12D0F1" w14:textId="77777777" w:rsidR="004449D4" w:rsidRPr="004449D4" w:rsidRDefault="004449D4" w:rsidP="004449D4">
      <w:pPr>
        <w:suppressAutoHyphens/>
        <w:spacing w:line="276" w:lineRule="auto"/>
        <w:ind w:left="36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a) Obliczanie całkowitego wkładu jednostkowego</w:t>
      </w: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: </w:t>
      </w:r>
    </w:p>
    <w:p w14:paraId="18E66EAB" w14:textId="77777777" w:rsidR="004449D4" w:rsidRPr="004449D4" w:rsidRDefault="004449D4" w:rsidP="004449D4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Całkowity wkład jednostkowy na podróż oblicza się, mnożąc liczbę uczestników i osób towarzyszących w danym przedziale odległości przez wkład jednostkowy mający zastosowanie do danego przedziału odległości i rodzaju podróży (z wykorzystaniem lub bez wykorzystania ekologicznych środków transportu), jak określono w załączniku 3 do umowy. </w:t>
      </w:r>
    </w:p>
    <w:p w14:paraId="5B3043AD" w14:textId="77777777" w:rsidR="004449D4" w:rsidRPr="004449D4" w:rsidRDefault="004449D4" w:rsidP="004449D4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Aby ustalić odpowiedni przedział odległości, beneficjent wskazuje odległość pokonywaną podczas podróży w jedną stronę, obliczoną za pomocą kalkulatora odległości online dostępnego na stronie internetowej Komisji pod adresem: </w:t>
      </w:r>
      <w:hyperlink r:id="rId7" w:history="1">
        <w:r w:rsidRPr="004449D4">
          <w:rPr>
            <w:rFonts w:ascii="Times New Roman" w:eastAsia="Calibri" w:hAnsi="Times New Roman" w:cs="Times New Roman"/>
            <w:color w:val="0000FF"/>
            <w:kern w:val="0"/>
            <w:szCs w:val="22"/>
            <w:u w:val="single"/>
            <w14:ligatures w14:val="none"/>
          </w:rPr>
          <w:t>http://ec.europa.eu/programmes/erasmus-plus/resources/distance-calculator_pl</w:t>
        </w:r>
      </w:hyperlink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. </w:t>
      </w:r>
    </w:p>
    <w:p w14:paraId="65A12E78" w14:textId="77777777" w:rsidR="004449D4" w:rsidRPr="004449D4" w:rsidRDefault="004449D4" w:rsidP="004449D4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 xml:space="preserve">Beneficjent oblicza całkowity wkład jednostkowy na dofinansowanie kosztów podróży za pośrednictwem narzędzia sprawozdawczości i zarządzania programem Erasmus+ na podstawie mających zastosowanie stawek wkładu jednostkowego. </w:t>
      </w:r>
    </w:p>
    <w:p w14:paraId="73809DA3" w14:textId="77777777" w:rsidR="004449D4" w:rsidRPr="004449D4" w:rsidRDefault="004449D4" w:rsidP="004449D4">
      <w:pPr>
        <w:numPr>
          <w:ilvl w:val="0"/>
          <w:numId w:val="3"/>
        </w:numPr>
        <w:suppressAutoHyphens/>
        <w:spacing w:after="20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</w:t>
      </w:r>
    </w:p>
    <w:p w14:paraId="282C7392" w14:textId="77777777" w:rsidR="004449D4" w:rsidRPr="004449D4" w:rsidRDefault="004449D4" w:rsidP="004449D4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14:ligatures w14:val="none"/>
        </w:rPr>
        <w:t>Podróż kwalifikuje się wtedy, gdy uczestnik faktycznie podjął działanie.</w:t>
      </w:r>
    </w:p>
    <w:p w14:paraId="4C5A7D88" w14:textId="77777777" w:rsidR="004449D4" w:rsidRPr="004449D4" w:rsidRDefault="004449D4" w:rsidP="004449D4">
      <w:pPr>
        <w:suppressAutoHyphens/>
        <w:spacing w:after="0" w:line="100" w:lineRule="atLeast"/>
        <w:ind w:left="502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468EADE9" w14:textId="77777777" w:rsidR="004449D4" w:rsidRPr="004449D4" w:rsidRDefault="004449D4" w:rsidP="004449D4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4449D4">
        <w:rPr>
          <w:rFonts w:ascii="Times New Roman" w:eastAsia="Times New Roman" w:hAnsi="Times New Roman" w:cs="Times New Roman"/>
          <w:color w:val="000000"/>
          <w:kern w:val="0"/>
          <w:szCs w:val="22"/>
          <w:u w:val="single"/>
          <w14:ligatures w14:val="none"/>
        </w:rPr>
        <w:t>Dokumenty potwierdzające</w:t>
      </w:r>
    </w:p>
    <w:p w14:paraId="6AB2A5E0" w14:textId="77777777" w:rsidR="004449D4" w:rsidRPr="004449D4" w:rsidRDefault="004449D4" w:rsidP="004449D4">
      <w:pPr>
        <w:suppressAutoHyphens/>
        <w:spacing w:after="0" w:line="100" w:lineRule="atLeast"/>
        <w:ind w:left="720"/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</w:pPr>
    </w:p>
    <w:p w14:paraId="6292613C" w14:textId="77777777" w:rsidR="004449D4" w:rsidRPr="004449D4" w:rsidRDefault="004449D4" w:rsidP="004449D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Dokumentem potwierdzającym jest </w:t>
      </w:r>
      <w:r w:rsidRPr="004449D4">
        <w:rPr>
          <w:rFonts w:ascii="Times New Roman" w:eastAsia="Calibri" w:hAnsi="Times New Roman" w:cs="Arial"/>
          <w:color w:val="000000"/>
          <w:kern w:val="0"/>
          <w:szCs w:val="22"/>
          <w14:ligatures w14:val="none"/>
        </w:rPr>
        <w:t>oświadczenie podpisane przez organizację przyjmującą, w którym wyszczególniono imię i nazwisko uczestnika, cel działania, a także potwierdzone daty rozpoczęcia i zakończenia mobilności fizycznej.</w:t>
      </w:r>
    </w:p>
    <w:p w14:paraId="24A912FD" w14:textId="77777777" w:rsidR="004449D4" w:rsidRPr="004449D4" w:rsidRDefault="004449D4" w:rsidP="004449D4">
      <w:pPr>
        <w:suppressAutoHyphens/>
        <w:spacing w:after="240" w:line="276" w:lineRule="auto"/>
        <w:jc w:val="both"/>
        <w:rPr>
          <w:rFonts w:ascii="Times New Roman" w:eastAsia="SimSun" w:hAnsi="Times New Roman" w:cs="Times New Roman"/>
          <w:color w:val="000000"/>
          <w:kern w:val="0"/>
          <w14:ligatures w14:val="none"/>
        </w:rPr>
      </w:pPr>
      <w:r w:rsidRPr="004449D4">
        <w:rPr>
          <w:rFonts w:ascii="Times New Roman" w:eastAsia="Calibri" w:hAnsi="Times New Roman" w:cs="Arial"/>
          <w:color w:val="000000"/>
          <w:kern w:val="0"/>
          <w:szCs w:val="22"/>
          <w14:ligatures w14:val="none"/>
        </w:rPr>
        <w:t xml:space="preserve">W przypadku udziału osób towarzyszących, ich imion, nazwiska i okres pobytu muszą zostać wpisane w tym samym dokumencie. </w:t>
      </w:r>
    </w:p>
    <w:p w14:paraId="054A45BC" w14:textId="77777777" w:rsidR="004449D4" w:rsidRPr="004449D4" w:rsidRDefault="004449D4" w:rsidP="004449D4">
      <w:pPr>
        <w:suppressAutoHyphens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Ponadto, oprócz dokumentów potwierdzających, w przypadku korzystania ze zrównoważonych środków transportu (podróż z wykorzystaniem ekologicznych środków transportu): dokumentem potwierdzającym będzie oświadczenie podpisane przez osobę otrzymującą dotację na pokrycie kosztów podróży. </w:t>
      </w:r>
    </w:p>
    <w:p w14:paraId="0D61FE43" w14:textId="77777777" w:rsidR="004449D4" w:rsidRPr="004449D4" w:rsidRDefault="004449D4" w:rsidP="004449D4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:lang w:eastAsia="ar-SA"/>
          <w14:ligatures w14:val="none"/>
        </w:rPr>
      </w:pPr>
    </w:p>
    <w:p w14:paraId="03641654" w14:textId="77777777" w:rsidR="004449D4" w:rsidRPr="004449D4" w:rsidRDefault="004449D4" w:rsidP="004449D4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Jeżeli miejsce rozpoczęcia podróży jest inne niż miejsce pochodzenia lub miejsce zakończenia podróży jest inne niż miejsce działania, beneficjent musi zgłosić przyczynę tej różnicy. W przypadku gdy podróż nie odbyła się lub gdy została sfinansowana ze źródeł innych niż program Erasmus+, beneficjent wskazuje w swoim sprawozdaniu, że dofinansowanie kosztów podróży nie jest wymagane.</w:t>
      </w:r>
    </w:p>
    <w:p w14:paraId="31B93AA8" w14:textId="77777777" w:rsidR="004449D4" w:rsidRPr="004449D4" w:rsidRDefault="004449D4" w:rsidP="004449D4">
      <w:pPr>
        <w:keepNext/>
        <w:keepLines/>
        <w:spacing w:before="240" w:after="200" w:line="240" w:lineRule="auto"/>
        <w:jc w:val="both"/>
        <w:outlineLvl w:val="1"/>
        <w:rPr>
          <w:rFonts w:ascii="Times New Roman Bold" w:eastAsia="Calibri" w:hAnsi="Times New Roman Bold" w:cs="Times New Roman"/>
          <w:kern w:val="0"/>
          <w14:ligatures w14:val="none"/>
        </w:rPr>
      </w:pPr>
      <w:r w:rsidRPr="004449D4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1.2 Wsparcie indywidualne</w:t>
      </w:r>
    </w:p>
    <w:p w14:paraId="2A0C03F8" w14:textId="77777777" w:rsidR="004449D4" w:rsidRPr="004449D4" w:rsidRDefault="004449D4" w:rsidP="004449D4">
      <w:pPr>
        <w:numPr>
          <w:ilvl w:val="0"/>
          <w:numId w:val="4"/>
        </w:numPr>
        <w:tabs>
          <w:tab w:val="left" w:pos="567"/>
        </w:tabs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</w:t>
      </w:r>
      <w:r w:rsidRPr="004449D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: </w:t>
      </w:r>
    </w:p>
    <w:p w14:paraId="2A00F8C4" w14:textId="77777777" w:rsidR="004449D4" w:rsidRPr="004449D4" w:rsidRDefault="004449D4" w:rsidP="004449D4">
      <w:pPr>
        <w:tabs>
          <w:tab w:val="left" w:pos="0"/>
        </w:tabs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liczbę dni działania w przeliczeniu na uczestnika i osobę towarzyszącą przez wkład jednostkowy mający zastosowanie w przeliczeniu na dzień w danym kraju przyjmującym, jak określono w załączniku 3 do umowy. Można dodać dni podróży, jeżeli są one istotne dla danego działania.</w:t>
      </w:r>
    </w:p>
    <w:p w14:paraId="02544F79" w14:textId="77777777" w:rsidR="004449D4" w:rsidRPr="004449D4" w:rsidRDefault="004449D4" w:rsidP="004449D4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przerwania pobytu okres przerwy nie będzie brany pod uwagę przy obliczaniu dotacji na wsparcie indywidualne. W przypadku przerwy spowodowanej siłą wyższą uczestnik musi mieć możliwość wznowienia i kontynuowania działań po ich przerwaniu (na warunkach określonych w niniejszej umowie).</w:t>
      </w:r>
    </w:p>
    <w:p w14:paraId="77798761" w14:textId="77777777" w:rsidR="004449D4" w:rsidRPr="004449D4" w:rsidRDefault="004449D4" w:rsidP="004449D4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rozwiązania przez uczestnika umowy ze względu na działanie siły wyższej uczestnik musi mieć prawo do otrzymania kwoty dotacji w wysokości odpowiadającej rzeczywistemu czasowi trwania okresu mobilności. Wszelkie pozostałe środki muszą zostać zwrócone beneficjentowi, chyba że strony uzgodniły inaczej.</w:t>
      </w:r>
    </w:p>
    <w:p w14:paraId="0C4B9DD0" w14:textId="77777777" w:rsidR="004449D4" w:rsidRPr="004449D4" w:rsidRDefault="004449D4" w:rsidP="004449D4">
      <w:pPr>
        <w:numPr>
          <w:ilvl w:val="0"/>
          <w:numId w:val="4"/>
        </w:numPr>
        <w:tabs>
          <w:tab w:val="left" w:pos="567"/>
        </w:tabs>
        <w:suppressAutoHyphens/>
        <w:spacing w:after="24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4449D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4BF1EBA2" w14:textId="77777777" w:rsidR="004449D4" w:rsidRPr="004449D4" w:rsidRDefault="004449D4" w:rsidP="004449D4">
      <w:pPr>
        <w:tabs>
          <w:tab w:val="left" w:pos="567"/>
        </w:tabs>
        <w:suppressAutoHyphens/>
        <w:spacing w:after="24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>Wsparcie indywidualne jest kwalifikowalne (uprawnione) tylko wtedy, gdy uczestnik faktycznie podjął działanie w określonym czasie.</w:t>
      </w:r>
    </w:p>
    <w:p w14:paraId="1AE99319" w14:textId="77777777" w:rsidR="004449D4" w:rsidRPr="004449D4" w:rsidRDefault="004449D4" w:rsidP="004449D4">
      <w:pPr>
        <w:numPr>
          <w:ilvl w:val="0"/>
          <w:numId w:val="4"/>
        </w:numPr>
        <w:suppressAutoHyphens/>
        <w:spacing w:after="240" w:line="100" w:lineRule="atLeast"/>
        <w:ind w:left="567" w:hanging="425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4449D4">
        <w:rPr>
          <w:rFonts w:ascii="Times New Roman" w:eastAsia="Calibri" w:hAnsi="Times New Roman" w:cs="Times New Roman"/>
          <w:color w:val="000000"/>
          <w:kern w:val="0"/>
          <w:szCs w:val="22"/>
          <w:u w:val="single"/>
          <w14:ligatures w14:val="none"/>
        </w:rPr>
        <w:t>Dokumenty potwierdzające:</w:t>
      </w:r>
    </w:p>
    <w:p w14:paraId="0DBCF97B" w14:textId="77777777" w:rsidR="004449D4" w:rsidRPr="004449D4" w:rsidRDefault="004449D4" w:rsidP="004449D4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szCs w:val="22"/>
          <w14:ligatures w14:val="none"/>
        </w:rPr>
        <w:t>Dokument potwierdzający jest oświadczenie podpisane przez organizację przyjmującą, w którym wyszczególniono imię i nazwisko uczestnika, cel działania, a także potwierdzone daty rozpoczęcia i zakończenia mobilności fizycznej.</w:t>
      </w:r>
    </w:p>
    <w:p w14:paraId="25BB9D88" w14:textId="77777777" w:rsidR="004449D4" w:rsidRPr="004449D4" w:rsidRDefault="004449D4" w:rsidP="004449D4">
      <w:pPr>
        <w:numPr>
          <w:ilvl w:val="0"/>
          <w:numId w:val="4"/>
        </w:numPr>
        <w:suppressAutoHyphens/>
        <w:spacing w:after="240" w:line="100" w:lineRule="atLeast"/>
        <w:ind w:left="567" w:hanging="425"/>
        <w:rPr>
          <w:rFonts w:ascii="Times New Roman" w:eastAsia="Calibri" w:hAnsi="Times New Roman" w:cs="Times New Roman"/>
          <w:color w:val="000000"/>
          <w:kern w:val="0"/>
          <w:u w:val="single"/>
          <w14:ligatures w14:val="none"/>
        </w:rPr>
      </w:pPr>
      <w:r w:rsidRPr="004449D4">
        <w:rPr>
          <w:rFonts w:ascii="Times New Roman" w:eastAsia="Calibri" w:hAnsi="Times New Roman" w:cs="Times New Roman"/>
          <w:color w:val="000000"/>
          <w:kern w:val="0"/>
          <w:szCs w:val="22"/>
          <w:u w:val="single"/>
          <w14:ligatures w14:val="none"/>
        </w:rPr>
        <w:t xml:space="preserve">Sprawozdawczość: </w:t>
      </w:r>
    </w:p>
    <w:p w14:paraId="29972693" w14:textId="77777777" w:rsidR="004449D4" w:rsidRPr="004449D4" w:rsidRDefault="004449D4" w:rsidP="004449D4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1F497D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bdr w:val="none" w:sz="0" w:space="0" w:color="auto" w:frame="1"/>
          <w14:ligatures w14:val="none"/>
        </w:rPr>
        <w:t xml:space="preserve">Uczestnicy </w:t>
      </w:r>
      <w:r w:rsidRPr="004449D4">
        <w:rPr>
          <w:rFonts w:ascii="Times New Roman" w:eastAsia="Calibri" w:hAnsi="Times New Roman" w:cs="Arial"/>
          <w:kern w:val="0"/>
          <w:szCs w:val="22"/>
          <w14:ligatures w14:val="none"/>
        </w:rPr>
        <w:t xml:space="preserve">muszą wypełnić standardowy kwestionariusz online udostępniony przez Komisję Europejską (sprawozdanie uczestnika), </w:t>
      </w: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w celu przedstawienia informacji dotyczących faktycznie zrealizowanego działania w zakresie mobilności, jego oceny, działań przygotowawczych do mobilności oraz działań następczych.</w:t>
      </w:r>
      <w:r w:rsidRPr="004449D4">
        <w:rPr>
          <w:rFonts w:ascii="Times New Roman" w:eastAsia="Calibri" w:hAnsi="Times New Roman" w:cs="Arial"/>
          <w:kern w:val="0"/>
          <w:szCs w:val="22"/>
          <w14:ligatures w14:val="none"/>
        </w:rPr>
        <w:t xml:space="preserve"> </w:t>
      </w:r>
    </w:p>
    <w:p w14:paraId="26AFA9C6" w14:textId="77777777" w:rsidR="004449D4" w:rsidRPr="004449D4" w:rsidRDefault="004449D4" w:rsidP="004449D4">
      <w:pPr>
        <w:tabs>
          <w:tab w:val="left" w:pos="993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bdr w:val="none" w:sz="0" w:space="0" w:color="auto" w:frame="1"/>
          <w14:ligatures w14:val="none"/>
        </w:rPr>
        <w:t>. </w:t>
      </w:r>
    </w:p>
    <w:p w14:paraId="3C10D8A3" w14:textId="77777777" w:rsidR="004449D4" w:rsidRPr="004449D4" w:rsidRDefault="004449D4" w:rsidP="004449D4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szCs w:val="26"/>
          <w14:ligatures w14:val="none"/>
        </w:rPr>
      </w:pPr>
      <w:r w:rsidRPr="004449D4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1.3 Wsparcie organizacyjne</w:t>
      </w:r>
    </w:p>
    <w:p w14:paraId="6D53B888" w14:textId="77777777" w:rsidR="004449D4" w:rsidRPr="004449D4" w:rsidRDefault="004449D4" w:rsidP="004449D4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</w:t>
      </w:r>
    </w:p>
    <w:p w14:paraId="3FDB3902" w14:textId="77777777" w:rsidR="004449D4" w:rsidRPr="004449D4" w:rsidRDefault="004449D4" w:rsidP="004449D4">
      <w:pPr>
        <w:tabs>
          <w:tab w:val="left" w:pos="993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łączną liczbę uczestników w działaniach w zakresie mobilności przez mający zastosowanie wkład jednostkowy, jak określono w załączniku 3 do umowy. Osoby towarzyszące oraz osoby biorące udział w wizytach przygotowawczych nie są uznawane za uczestników działań w zakresie mobilności i nie są zatem brane pod uwagę przy obliczaniu wsparcia organizacyjnego.</w:t>
      </w:r>
    </w:p>
    <w:p w14:paraId="5826E874" w14:textId="77777777" w:rsidR="004449D4" w:rsidRPr="004449D4" w:rsidRDefault="004449D4" w:rsidP="004449D4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4449D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67B0851A" w14:textId="77777777" w:rsidR="004449D4" w:rsidRPr="004449D4" w:rsidRDefault="004449D4" w:rsidP="004449D4">
      <w:pPr>
        <w:tabs>
          <w:tab w:val="left" w:pos="567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Wsparcie organizacyjne jest kwalifikowalne (uprawnione) tylko wtedy, gdy uczestnik faktycznie podjął działanie. </w:t>
      </w:r>
    </w:p>
    <w:p w14:paraId="79EF23EA" w14:textId="77777777" w:rsidR="004449D4" w:rsidRPr="004449D4" w:rsidRDefault="004449D4" w:rsidP="004449D4">
      <w:pPr>
        <w:tabs>
          <w:tab w:val="left" w:pos="567"/>
        </w:tabs>
        <w:suppressAutoHyphens/>
        <w:spacing w:after="200" w:line="276" w:lineRule="auto"/>
        <w:ind w:firstLine="284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c) </w:t>
      </w:r>
      <w:r w:rsidRPr="004449D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Dokumenty potwierdzające: </w:t>
      </w:r>
    </w:p>
    <w:p w14:paraId="6641B04E" w14:textId="77777777" w:rsidR="004449D4" w:rsidRPr="004449D4" w:rsidRDefault="004449D4" w:rsidP="004449D4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Dokument potwierdzający jest oświadczenie podpisane przez organizację przyjmującą, w którym wyszczególniono imię i nazwisko uczestnika, cel działania, a także potwierdzone daty rozpoczęcia i zakończenia mobilności fizycznej.</w:t>
      </w:r>
    </w:p>
    <w:p w14:paraId="01159A8C" w14:textId="77777777" w:rsidR="004449D4" w:rsidRPr="004449D4" w:rsidRDefault="004449D4" w:rsidP="004449D4">
      <w:pPr>
        <w:keepNext/>
        <w:keepLines/>
        <w:spacing w:before="240" w:after="200" w:line="240" w:lineRule="auto"/>
        <w:jc w:val="both"/>
        <w:outlineLvl w:val="1"/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</w:pPr>
      <w:r w:rsidRPr="004449D4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 xml:space="preserve">1.4-1.6 </w:t>
      </w:r>
    </w:p>
    <w:p w14:paraId="34D6AA27" w14:textId="77777777" w:rsidR="004449D4" w:rsidRPr="004449D4" w:rsidRDefault="004449D4" w:rsidP="004449D4">
      <w:pPr>
        <w:keepNext/>
        <w:keepLines/>
        <w:spacing w:before="240" w:after="200" w:line="240" w:lineRule="auto"/>
        <w:jc w:val="both"/>
        <w:outlineLvl w:val="1"/>
        <w:rPr>
          <w:rFonts w:ascii="Times New Roman Bold" w:eastAsia="Times New Roman" w:hAnsi="Times New Roman Bold" w:cs="Times New Roman"/>
          <w:kern w:val="0"/>
          <w:szCs w:val="26"/>
          <w14:ligatures w14:val="none"/>
        </w:rPr>
      </w:pPr>
      <w:r w:rsidRPr="004449D4">
        <w:rPr>
          <w:rFonts w:ascii="Times New Roman Bold" w:eastAsia="Times New Roman" w:hAnsi="Times New Roman Bold" w:cs="Times New Roman"/>
          <w:kern w:val="0"/>
          <w:szCs w:val="26"/>
          <w14:ligatures w14:val="none"/>
        </w:rPr>
        <w:t>Nie dotyczy.</w:t>
      </w:r>
    </w:p>
    <w:p w14:paraId="2A4A63FA" w14:textId="77777777" w:rsidR="004449D4" w:rsidRPr="004449D4" w:rsidRDefault="004449D4" w:rsidP="004449D4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1.7 Wsparcie włączenia dla organizacji</w:t>
      </w:r>
    </w:p>
    <w:p w14:paraId="02EA2994" w14:textId="77777777" w:rsidR="004449D4" w:rsidRPr="004449D4" w:rsidRDefault="004449D4" w:rsidP="004449D4">
      <w:pPr>
        <w:numPr>
          <w:ilvl w:val="0"/>
          <w:numId w:val="6"/>
        </w:numPr>
        <w:suppressAutoHyphens/>
        <w:spacing w:after="0" w:line="276" w:lineRule="auto"/>
        <w:ind w:left="851" w:hanging="425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Obliczanie całkowitego wkładu jednostkowego: </w:t>
      </w:r>
    </w:p>
    <w:p w14:paraId="6C49D3FD" w14:textId="77777777" w:rsidR="004449D4" w:rsidRPr="004449D4" w:rsidRDefault="004449D4" w:rsidP="004449D4">
      <w:pPr>
        <w:suppressAutoHyphens/>
        <w:spacing w:after="0" w:line="276" w:lineRule="auto"/>
        <w:rPr>
          <w:rFonts w:ascii="Calibri" w:eastAsia="SimSun" w:hAnsi="Calibri" w:cs="Times New Roman"/>
          <w:kern w:val="0"/>
          <w:sz w:val="22"/>
          <w:lang w:eastAsia="ar-SA"/>
          <w14:ligatures w14:val="none"/>
        </w:rPr>
      </w:pPr>
    </w:p>
    <w:p w14:paraId="67568277" w14:textId="77777777" w:rsidR="004449D4" w:rsidRPr="004449D4" w:rsidRDefault="004449D4" w:rsidP="004449D4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Całkowity wkład jednostkowy oblicza się, mnożąc łączną liczbę uczestników o mniejszych szansach działań w zakresie mobilności przez mający zastosowanie wkład jednostkowy, jak określono w załączniku 3 do umowy. </w:t>
      </w:r>
    </w:p>
    <w:p w14:paraId="7CD7F79A" w14:textId="77777777" w:rsidR="004449D4" w:rsidRPr="004449D4" w:rsidRDefault="004449D4" w:rsidP="004449D4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0442D020" w14:textId="77777777" w:rsidR="004449D4" w:rsidRPr="004449D4" w:rsidRDefault="004449D4" w:rsidP="004449D4">
      <w:pPr>
        <w:numPr>
          <w:ilvl w:val="0"/>
          <w:numId w:val="6"/>
        </w:numPr>
        <w:suppressAutoHyphens/>
        <w:spacing w:after="200" w:line="276" w:lineRule="auto"/>
        <w:ind w:left="709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Zdarzenie inicjujące: </w:t>
      </w:r>
    </w:p>
    <w:p w14:paraId="123714CC" w14:textId="77777777" w:rsidR="004449D4" w:rsidRPr="004449D4" w:rsidRDefault="004449D4" w:rsidP="004449D4">
      <w:pPr>
        <w:tabs>
          <w:tab w:val="left" w:pos="567"/>
        </w:tabs>
        <w:suppressAutoHyphens/>
        <w:spacing w:after="24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Wsparcie włączenia dla organizacji jest kwalifikowalne (uprawnione) tylko wtedy, gdy dany uczestnik faktycznie podjął działanie.</w:t>
      </w:r>
    </w:p>
    <w:p w14:paraId="6625A049" w14:textId="77777777" w:rsidR="004449D4" w:rsidRPr="004449D4" w:rsidRDefault="004449D4" w:rsidP="004449D4">
      <w:pPr>
        <w:numPr>
          <w:ilvl w:val="0"/>
          <w:numId w:val="6"/>
        </w:numPr>
        <w:suppressAutoHyphens/>
        <w:spacing w:after="120" w:line="276" w:lineRule="auto"/>
        <w:ind w:left="709" w:hanging="425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</w:p>
    <w:p w14:paraId="4C8309FA" w14:textId="77777777" w:rsidR="004449D4" w:rsidRPr="004449D4" w:rsidRDefault="004449D4" w:rsidP="004449D4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Dokumentem potwierdzającym jest oświadczenie podpisane przez organizację przyjmującą i uczestnika, w którym wyszczególniono imię i nazwisko uczestnika, cel działania, a także daty jego rozpoczęcia i zakończenia.</w:t>
      </w:r>
    </w:p>
    <w:p w14:paraId="5A22A684" w14:textId="77777777" w:rsidR="004449D4" w:rsidRPr="004449D4" w:rsidRDefault="004449D4" w:rsidP="004449D4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Ponadto: dokumentacja określona przez agencję narodową jako dopuszczalny dowód na to, że uczestnik należy do jednej z kategorii osób o mniejszych szansach wymienionych w „Przewodniku po programie”.</w:t>
      </w:r>
    </w:p>
    <w:p w14:paraId="7E5B08F7" w14:textId="77777777" w:rsidR="004449D4" w:rsidRPr="004449D4" w:rsidRDefault="004449D4" w:rsidP="004449D4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449D4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1.8 Wsparcie językowe</w:t>
      </w:r>
      <w:r w:rsidRPr="004449D4">
        <w:rPr>
          <w:rFonts w:ascii="Times New Roman" w:eastAsia="Times New Roman" w:hAnsi="Times New Roman" w:cs="Times New Roman"/>
          <w:b/>
          <w:bCs/>
          <w:kern w:val="0"/>
          <w:szCs w:val="26"/>
          <w14:ligatures w14:val="none"/>
        </w:rPr>
        <w:t xml:space="preserve"> </w:t>
      </w:r>
    </w:p>
    <w:p w14:paraId="0573E4F8" w14:textId="77777777" w:rsidR="004449D4" w:rsidRPr="004449D4" w:rsidRDefault="004449D4" w:rsidP="004449D4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Obliczanie całkowitego wkładu jednostkowego: </w:t>
      </w:r>
    </w:p>
    <w:p w14:paraId="4A23ADAC" w14:textId="77777777" w:rsidR="004449D4" w:rsidRPr="004449D4" w:rsidRDefault="004449D4" w:rsidP="004449D4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łączną liczbę uczestników otrzymujących wsparcie językowe przez mający zastosowanie wkład jednostkowy, jak określono w załączniku 3 do umowy.</w:t>
      </w:r>
    </w:p>
    <w:p w14:paraId="55CA866F" w14:textId="77777777" w:rsidR="004449D4" w:rsidRPr="004449D4" w:rsidRDefault="004449D4" w:rsidP="004449D4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Arial"/>
          <w:kern w:val="0"/>
          <w:szCs w:val="22"/>
          <w14:ligatures w14:val="none"/>
        </w:rPr>
        <w:t>Uczestników, którzy skorzystali ze wsparcia językowego online (OLS), nie uwzględnia się na potrzeby tego obliczenia. Jeżeli wynik oceny OLS wskazuje, że poziom uczestnika w wymaganym języku nie jest objęty systemem OLS, wynik ten zostanie uznany za wystarczające uzasadnienie wniosku o koszt jednostkowy wsparcia językowego, jak określono w „Przewodniku po programie”.</w:t>
      </w:r>
    </w:p>
    <w:p w14:paraId="55944031" w14:textId="77777777" w:rsidR="004449D4" w:rsidRPr="004449D4" w:rsidRDefault="004449D4" w:rsidP="004449D4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Arial"/>
          <w:kern w:val="0"/>
          <w:szCs w:val="22"/>
          <w14:ligatures w14:val="none"/>
        </w:rPr>
        <w:t>Osoby uczące się w ramach mobilności długotrwałej otrzymają dalsze wsparcie językowe odpowiadające temu samemu wkładowi jednostkowemu określonemu w załączniku 3 do umowy.</w:t>
      </w:r>
    </w:p>
    <w:p w14:paraId="336F78E9" w14:textId="77777777" w:rsidR="004449D4" w:rsidRPr="004449D4" w:rsidRDefault="004449D4" w:rsidP="004449D4">
      <w:pPr>
        <w:numPr>
          <w:ilvl w:val="0"/>
          <w:numId w:val="1"/>
        </w:numPr>
        <w:suppressAutoHyphens/>
        <w:spacing w:after="200" w:line="276" w:lineRule="auto"/>
        <w:ind w:left="714" w:hanging="357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Zdarzenie inicjujące: </w:t>
      </w:r>
    </w:p>
    <w:p w14:paraId="567E45B4" w14:textId="77777777" w:rsidR="004449D4" w:rsidRPr="004449D4" w:rsidRDefault="004449D4" w:rsidP="004449D4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14:ligatures w14:val="none"/>
        </w:rPr>
        <w:t xml:space="preserve">Wkład jednostkowy </w:t>
      </w:r>
      <w:r w:rsidRPr="004449D4">
        <w:rPr>
          <w:rFonts w:ascii="Times New Roman" w:eastAsia="Calibri" w:hAnsi="Times New Roman" w:cs="Times New Roman"/>
          <w14:ligatures w14:val="none"/>
        </w:rPr>
        <w:t xml:space="preserve">jest kwalifikowalny (uprawniony) </w:t>
      </w:r>
      <w:r w:rsidRPr="004449D4">
        <w:rPr>
          <w:rFonts w:ascii="Times New Roman" w:eastAsia="Calibri" w:hAnsi="Times New Roman" w:cs="Times New Roman"/>
          <w:kern w:val="0"/>
          <w14:ligatures w14:val="none"/>
        </w:rPr>
        <w:t xml:space="preserve">tylko wtedy, gdy dany uczestnik faktycznie </w:t>
      </w:r>
      <w:r w:rsidRPr="004449D4">
        <w:rPr>
          <w:rFonts w:ascii="Times New Roman" w:eastAsia="Calibri" w:hAnsi="Times New Roman" w:cs="Times New Roman"/>
          <w14:ligatures w14:val="none"/>
        </w:rPr>
        <w:t>otrzymał wsparcie w</w:t>
      </w:r>
      <w:r w:rsidRPr="004449D4">
        <w:rPr>
          <w:rFonts w:ascii="Times New Roman" w:eastAsia="Calibri" w:hAnsi="Times New Roman" w:cs="Times New Roman"/>
          <w:kern w:val="0"/>
          <w14:ligatures w14:val="none"/>
        </w:rPr>
        <w:t xml:space="preserve"> zakresie </w:t>
      </w:r>
      <w:r w:rsidRPr="004449D4">
        <w:rPr>
          <w:rFonts w:ascii="Times New Roman" w:eastAsia="Calibri" w:hAnsi="Times New Roman" w:cs="Times New Roman"/>
          <w14:ligatures w14:val="none"/>
        </w:rPr>
        <w:t xml:space="preserve">nauki </w:t>
      </w:r>
      <w:r w:rsidRPr="004449D4">
        <w:rPr>
          <w:rFonts w:ascii="Times New Roman" w:eastAsia="Calibri" w:hAnsi="Times New Roman" w:cs="Times New Roman"/>
          <w:kern w:val="0"/>
          <w14:ligatures w14:val="none"/>
        </w:rPr>
        <w:t>języka</w:t>
      </w:r>
      <w:r w:rsidRPr="004449D4">
        <w:rPr>
          <w:rFonts w:ascii="Times New Roman" w:eastAsia="Calibri" w:hAnsi="Times New Roman" w:cs="Times New Roman"/>
          <w14:ligatures w14:val="none"/>
        </w:rPr>
        <w:t>.</w:t>
      </w:r>
    </w:p>
    <w:p w14:paraId="4544FA09" w14:textId="77777777" w:rsidR="004449D4" w:rsidRPr="004449D4" w:rsidRDefault="004449D4" w:rsidP="004449D4">
      <w:pPr>
        <w:numPr>
          <w:ilvl w:val="0"/>
          <w:numId w:val="1"/>
        </w:numPr>
        <w:suppressAutoHyphens/>
        <w:spacing w:after="200" w:line="276" w:lineRule="auto"/>
        <w:ind w:left="714" w:hanging="357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Dokumenty potwierdzające: </w:t>
      </w:r>
    </w:p>
    <w:p w14:paraId="0238F77A" w14:textId="77777777" w:rsidR="004449D4" w:rsidRPr="004449D4" w:rsidRDefault="004449D4" w:rsidP="004449D4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14:ligatures w14:val="none"/>
        </w:rPr>
        <w:t xml:space="preserve">Dokumentem potwierdzającym jest oświadczenie lub świadectwo podpisane </w:t>
      </w:r>
      <w:r w:rsidRPr="004449D4">
        <w:rPr>
          <w:rFonts w:ascii="Times New Roman" w:eastAsia="Calibri" w:hAnsi="Times New Roman" w:cs="Times New Roman"/>
          <w:kern w:val="0"/>
          <w14:ligatures w14:val="none"/>
        </w:rPr>
        <w:t>przez organizatora kursu, w którym wyszczególniono imię i nazwisko uczestnika, nauczany język, format i czas trwania kursu lub w przypadku, gdy szkolenie językowe zapewnia organizacja wysyłająca lub przyjmująca: oświadczenie opatrzone podpisem i datą przez organizację zapewniającą szkolenie, w którym wyszczególniono imię i nazwisko uczestnika, nauczany język oraz format i czas trwania szkolenia językowego.</w:t>
      </w:r>
    </w:p>
    <w:p w14:paraId="5E7AAC61" w14:textId="77777777" w:rsidR="004449D4" w:rsidRPr="004449D4" w:rsidRDefault="004449D4" w:rsidP="004449D4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Sprawozdawczość:</w:t>
      </w:r>
    </w:p>
    <w:p w14:paraId="2333F3C3" w14:textId="77777777" w:rsidR="004449D4" w:rsidRPr="004449D4" w:rsidRDefault="004449D4" w:rsidP="004449D4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B1B4740" w14:textId="77777777" w:rsidR="004449D4" w:rsidRPr="004449D4" w:rsidRDefault="004449D4" w:rsidP="004449D4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14:ligatures w14:val="none"/>
        </w:rPr>
        <w:t>Beneficjent musi zgłosić liczbę uczestników, którzy skorzystali ze wsparcia językowego i OLS.</w:t>
      </w:r>
    </w:p>
    <w:p w14:paraId="008919B3" w14:textId="77777777" w:rsidR="004449D4" w:rsidRPr="004449D4" w:rsidRDefault="004449D4" w:rsidP="004449D4">
      <w:pPr>
        <w:keepNext/>
        <w:keepLines/>
        <w:spacing w:before="240" w:after="200" w:line="240" w:lineRule="auto"/>
        <w:jc w:val="both"/>
        <w:outlineLvl w:val="1"/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</w:pPr>
      <w:r w:rsidRPr="004449D4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 xml:space="preserve">1.9 </w:t>
      </w:r>
    </w:p>
    <w:p w14:paraId="26ABAB64" w14:textId="77777777" w:rsidR="004449D4" w:rsidRPr="004449D4" w:rsidRDefault="004449D4" w:rsidP="004449D4">
      <w:pPr>
        <w:keepNext/>
        <w:keepLines/>
        <w:spacing w:before="240" w:after="200" w:line="240" w:lineRule="auto"/>
        <w:jc w:val="both"/>
        <w:outlineLvl w:val="1"/>
        <w:rPr>
          <w:rFonts w:ascii="Times New Roman Bold" w:eastAsia="Times New Roman" w:hAnsi="Times New Roman Bold" w:cs="Times New Roman"/>
          <w:kern w:val="0"/>
          <w:szCs w:val="26"/>
          <w14:ligatures w14:val="none"/>
        </w:rPr>
      </w:pPr>
      <w:r w:rsidRPr="004449D4">
        <w:rPr>
          <w:rFonts w:ascii="Times New Roman Bold" w:eastAsia="Times New Roman" w:hAnsi="Times New Roman Bold" w:cs="Times New Roman"/>
          <w:kern w:val="0"/>
          <w:szCs w:val="26"/>
          <w14:ligatures w14:val="none"/>
        </w:rPr>
        <w:t>Nie dotyczy.</w:t>
      </w:r>
    </w:p>
    <w:p w14:paraId="22DADA1F" w14:textId="77777777" w:rsidR="004449D4" w:rsidRPr="004449D4" w:rsidRDefault="004449D4" w:rsidP="004449D4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1.10 Wizyty przygotowawcze</w:t>
      </w:r>
    </w:p>
    <w:p w14:paraId="40EE9E7B" w14:textId="77777777" w:rsidR="004449D4" w:rsidRPr="004449D4" w:rsidRDefault="004449D4" w:rsidP="004449D4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jednostkowego:</w:t>
      </w:r>
    </w:p>
    <w:p w14:paraId="1D42B442" w14:textId="77777777" w:rsidR="004449D4" w:rsidRPr="004449D4" w:rsidRDefault="004449D4" w:rsidP="004449D4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Całkowity wkład jednostkowy oblicza się, mnożąc łączną liczbę osób uczestniczących w wizytach przygotowawczych przez mający zastosowanie wkład jednostkowy, jak określono w załączniku 3 do umowy. </w:t>
      </w:r>
    </w:p>
    <w:p w14:paraId="230A026C" w14:textId="77777777" w:rsidR="004449D4" w:rsidRPr="004449D4" w:rsidRDefault="004449D4" w:rsidP="004449D4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520BB6C9" w14:textId="77777777" w:rsidR="004449D4" w:rsidRPr="004449D4" w:rsidRDefault="004449D4" w:rsidP="004449D4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4449D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267016C9" w14:textId="77777777" w:rsidR="004449D4" w:rsidRPr="004449D4" w:rsidRDefault="004449D4" w:rsidP="004449D4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Wkład jednostkowy na wizytę przygotowawczą jest kwalifikowalny (uprawniony) tylko wtedy, gdy dany uczestnik faktycznie wziął udział w wizycie przygotowawczej.</w:t>
      </w:r>
    </w:p>
    <w:p w14:paraId="3526E7B9" w14:textId="77777777" w:rsidR="004449D4" w:rsidRPr="004449D4" w:rsidRDefault="004449D4" w:rsidP="004449D4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</w:p>
    <w:p w14:paraId="309481B8" w14:textId="77777777" w:rsidR="004449D4" w:rsidRPr="004449D4" w:rsidRDefault="004449D4" w:rsidP="004449D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4449D4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Dokumentem potwierdzającym jest wypełniony program spotkania zawierający imiona i nazwiska osób przyjeżdżających, podpisany przez osoby przyjeżdżające i organizację przyjmującą. </w:t>
      </w:r>
    </w:p>
    <w:p w14:paraId="4C413DB2" w14:textId="77777777" w:rsidR="004449D4" w:rsidRPr="004449D4" w:rsidRDefault="004449D4" w:rsidP="004449D4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7DE8A4EF" w14:textId="77777777" w:rsidR="004449D4" w:rsidRPr="004449D4" w:rsidRDefault="004449D4" w:rsidP="004449D4">
      <w:pPr>
        <w:keepNext/>
        <w:keepLines/>
        <w:numPr>
          <w:ilvl w:val="0"/>
          <w:numId w:val="8"/>
        </w:numPr>
        <w:spacing w:before="200" w:after="200" w:line="240" w:lineRule="auto"/>
        <w:jc w:val="both"/>
        <w:outlineLvl w:val="0"/>
        <w:rPr>
          <w:rFonts w:ascii="Times New Roman Bold" w:eastAsia="Calibri" w:hAnsi="Times New Roman Bold" w:cs="Times New Roman"/>
          <w:b/>
          <w:bCs/>
          <w:smallCaps/>
          <w:kern w:val="0"/>
          <w:szCs w:val="28"/>
          <w:u w:val="single"/>
          <w14:ligatures w14:val="none"/>
        </w:rPr>
      </w:pPr>
      <w:r w:rsidRPr="004449D4">
        <w:rPr>
          <w:rFonts w:ascii="Times New Roman Bold" w:eastAsia="Times New Roman" w:hAnsi="Times New Roman Bold" w:cs="Times New Roman"/>
          <w:b/>
          <w:bCs/>
          <w:smallCaps/>
          <w:kern w:val="0"/>
          <w:szCs w:val="28"/>
          <w:u w:val="single"/>
          <w14:ligatures w14:val="none"/>
        </w:rPr>
        <w:t>Koszty rzeczywiste</w:t>
      </w:r>
    </w:p>
    <w:p w14:paraId="610C6BC5" w14:textId="77777777" w:rsidR="004449D4" w:rsidRPr="004449D4" w:rsidRDefault="004449D4" w:rsidP="004449D4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u w:val="single"/>
          <w14:ligatures w14:val="none"/>
        </w:rPr>
      </w:pPr>
      <w:r w:rsidRPr="004449D4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2.1 Wsparcie włączenia dla uczestników</w:t>
      </w:r>
    </w:p>
    <w:p w14:paraId="348F43A7" w14:textId="77777777" w:rsidR="004449D4" w:rsidRPr="004449D4" w:rsidRDefault="004449D4" w:rsidP="004449D4">
      <w:pPr>
        <w:numPr>
          <w:ilvl w:val="0"/>
          <w:numId w:val="2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kwoty dotacji:</w:t>
      </w:r>
    </w:p>
    <w:p w14:paraId="77232466" w14:textId="77777777" w:rsidR="004449D4" w:rsidRPr="004449D4" w:rsidRDefault="004449D4" w:rsidP="004449D4">
      <w:pPr>
        <w:tabs>
          <w:tab w:val="left" w:pos="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Dotacja stanowi zwrot 100 % faktycznie poniesionych kosztów kwalifikowalnych.</w:t>
      </w:r>
    </w:p>
    <w:p w14:paraId="1A3848E1" w14:textId="77777777" w:rsidR="004449D4" w:rsidRPr="004449D4" w:rsidRDefault="004449D4" w:rsidP="004449D4">
      <w:p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b)</w:t>
      </w: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4449D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Koszty kwalifikowalne</w:t>
      </w: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: </w:t>
      </w:r>
    </w:p>
    <w:p w14:paraId="7C50A1E6" w14:textId="77777777" w:rsidR="004449D4" w:rsidRPr="004449D4" w:rsidRDefault="004449D4" w:rsidP="004449D4">
      <w:pPr>
        <w:tabs>
          <w:tab w:val="left" w:pos="0"/>
        </w:tabs>
        <w:suppressAutoHyphens/>
        <w:spacing w:line="276" w:lineRule="auto"/>
        <w:ind w:left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koszty bezpośrednio związane z uczestnikami o mniejszych szansach i osobami im towarzyszącymi. Jeżeli dana osoba występuje o zwrot kosztów podróży i wsparcia indywidualnego w ramach tej kategorii budżetu, nie można wnioskować o wkład jednostkowy w odniesieniu do tych kategorii dla tej samej osoby.</w:t>
      </w:r>
    </w:p>
    <w:p w14:paraId="3C5FDD4E" w14:textId="77777777" w:rsidR="004449D4" w:rsidRPr="004449D4" w:rsidRDefault="004449D4" w:rsidP="004449D4">
      <w:pPr>
        <w:tabs>
          <w:tab w:val="left" w:pos="709"/>
        </w:tabs>
        <w:suppressAutoHyphens/>
        <w:spacing w:after="0" w:line="276" w:lineRule="auto"/>
        <w:ind w:left="851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4B9D0C7" w14:textId="77777777" w:rsidR="004449D4" w:rsidRPr="004449D4" w:rsidRDefault="004449D4" w:rsidP="004449D4">
      <w:pPr>
        <w:tabs>
          <w:tab w:val="left" w:pos="709"/>
        </w:tabs>
        <w:suppressAutoHyphens/>
        <w:spacing w:after="200" w:line="276" w:lineRule="auto"/>
        <w:ind w:left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c) Dokumenty potwierdzające:</w:t>
      </w:r>
      <w:r w:rsidRPr="004449D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278B3B29" w14:textId="77777777" w:rsidR="004449D4" w:rsidRPr="004449D4" w:rsidRDefault="004449D4" w:rsidP="004449D4">
      <w:pPr>
        <w:tabs>
          <w:tab w:val="left" w:pos="709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faktury stanowiące dowód pokrycia powiązanych kosztów, w których to fakturach wyszczególniono nazwę i adres podmiotu wystawiającego fakturę, kwotę i walutę, datę wystawienia faktury, oraz, w stosownych przypadkach, dokumentacja podpisana przez organizację przyjmującą określająca potwierdzoną datę rozpoczęcia i zakończenia pobytu osoby towarzyszącej.</w:t>
      </w:r>
    </w:p>
    <w:p w14:paraId="236957B5" w14:textId="77777777" w:rsidR="004449D4" w:rsidRPr="004449D4" w:rsidRDefault="004449D4" w:rsidP="004449D4">
      <w:pPr>
        <w:numPr>
          <w:ilvl w:val="0"/>
          <w:numId w:val="7"/>
        </w:num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lastRenderedPageBreak/>
        <w:t>Sprawozdawczość:</w:t>
      </w:r>
      <w:r w:rsidRPr="004449D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1B567CFE" w14:textId="77777777" w:rsidR="004449D4" w:rsidRPr="004449D4" w:rsidRDefault="004449D4" w:rsidP="004449D4">
      <w:pPr>
        <w:tabs>
          <w:tab w:val="left" w:pos="709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odniesieniu do każdej pozycji kosztów w tej kategorii budżetowej beneficjent musi podać rodzaj kosztów i rzeczywistą kwotę poniesionych kosztów. </w:t>
      </w:r>
    </w:p>
    <w:p w14:paraId="572A9E02" w14:textId="77777777" w:rsidR="004449D4" w:rsidRPr="004449D4" w:rsidRDefault="004449D4" w:rsidP="004449D4">
      <w:pPr>
        <w:keepNext/>
        <w:keepLines/>
        <w:numPr>
          <w:ilvl w:val="1"/>
          <w:numId w:val="8"/>
        </w:numPr>
        <w:spacing w:before="240" w:after="200" w:line="240" w:lineRule="auto"/>
        <w:ind w:left="426" w:hanging="284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szCs w:val="26"/>
          <w14:ligatures w14:val="none"/>
        </w:rPr>
      </w:pPr>
      <w:r w:rsidRPr="004449D4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Koszty nadzwyczajne</w:t>
      </w:r>
    </w:p>
    <w:p w14:paraId="18FC8DFE" w14:textId="77777777" w:rsidR="004449D4" w:rsidRPr="004449D4" w:rsidRDefault="004449D4" w:rsidP="004449D4">
      <w:pPr>
        <w:numPr>
          <w:ilvl w:val="0"/>
          <w:numId w:val="9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kwoty dotacji:</w:t>
      </w:r>
    </w:p>
    <w:p w14:paraId="2BE005E4" w14:textId="77777777" w:rsidR="004449D4" w:rsidRPr="004449D4" w:rsidRDefault="004449D4" w:rsidP="004449D4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Dotacja stanowi zwrot faktycznie poniesionych następujących kosztów kwalifikowalnych, o ile nie wskazano inaczej poniżej. </w:t>
      </w:r>
    </w:p>
    <w:p w14:paraId="4C4ED3A5" w14:textId="77777777" w:rsidR="004449D4" w:rsidRPr="004449D4" w:rsidRDefault="004449D4" w:rsidP="004449D4">
      <w:pPr>
        <w:numPr>
          <w:ilvl w:val="0"/>
          <w:numId w:val="2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Koszty kwalifikowalne: </w:t>
      </w:r>
    </w:p>
    <w:p w14:paraId="071A364A" w14:textId="77777777" w:rsidR="004449D4" w:rsidRPr="004449D4" w:rsidRDefault="004449D4" w:rsidP="004449D4">
      <w:pPr>
        <w:numPr>
          <w:ilvl w:val="0"/>
          <w:numId w:val="10"/>
        </w:numPr>
        <w:spacing w:after="200" w:line="276" w:lineRule="auto"/>
        <w:jc w:val="both"/>
        <w:rPr>
          <w:rFonts w:ascii="Times New Roman" w:eastAsia="SimSun" w:hAnsi="Times New Roman" w:cs="Times New Roman"/>
          <w:kern w:val="0"/>
          <w:szCs w:val="22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Gwarancja finansowa: 80% kosztów gwarancji dotyczącej płatności zaliczkowych wniesionych przez beneficjenta, w przypadku gdy takiej gwarancji wymaga agencja narodowa, jak określono w arkuszu danych (zob. pkt 4).  </w:t>
      </w:r>
    </w:p>
    <w:p w14:paraId="13A16417" w14:textId="77777777" w:rsidR="004449D4" w:rsidRPr="004449D4" w:rsidRDefault="004449D4" w:rsidP="004449D4">
      <w:pPr>
        <w:numPr>
          <w:ilvl w:val="0"/>
          <w:numId w:val="10"/>
        </w:numPr>
        <w:spacing w:after="200" w:line="276" w:lineRule="auto"/>
        <w:jc w:val="both"/>
        <w:rPr>
          <w:rFonts w:ascii="Times New Roman" w:eastAsia="SimSun" w:hAnsi="Times New Roman" w:cs="Times New Roman"/>
          <w:kern w:val="0"/>
          <w:szCs w:val="22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Wysokie koszty podróży: 80% kosztów podróży w najkorzystniejszy ekonomicznie a zarazem efektywny sposób, jeżeli mający zastosowanie wkład jednostkowy nie pokryłby co najmniej 70 % kosztów podróży. Koszty nadzwyczajne związane z wysokimi kosztami podróży zastępują dofinansowanie kosztów podróży. </w:t>
      </w:r>
    </w:p>
    <w:p w14:paraId="31898A77" w14:textId="77777777" w:rsidR="004449D4" w:rsidRPr="004449D4" w:rsidRDefault="004449D4" w:rsidP="004449D4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4449D4">
        <w:rPr>
          <w:rFonts w:ascii="Times New Roman" w:eastAsia="Times New Roman" w:hAnsi="Times New Roman" w:cs="Times New Roman"/>
          <w:kern w:val="0"/>
          <w:szCs w:val="22"/>
          <w14:ligatures w14:val="none"/>
        </w:rPr>
        <w:t>Koszty wiz i koszty związane z otrzymaniem wiz, koszty zezwoleń na pobyt, szczepień i zaświadczeń lekarskich: 100% poniesionych kosztów.</w:t>
      </w:r>
    </w:p>
    <w:p w14:paraId="0491D558" w14:textId="77777777" w:rsidR="004449D4" w:rsidRPr="004449D4" w:rsidRDefault="004449D4" w:rsidP="004449D4">
      <w:pPr>
        <w:suppressAutoHyphens/>
        <w:spacing w:after="0" w:line="276" w:lineRule="auto"/>
        <w:ind w:left="72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69B249D6" w14:textId="77777777" w:rsidR="004449D4" w:rsidRPr="004449D4" w:rsidRDefault="004449D4" w:rsidP="004449D4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</w:p>
    <w:p w14:paraId="77C791C5" w14:textId="77777777" w:rsidR="004449D4" w:rsidRPr="004449D4" w:rsidRDefault="004449D4" w:rsidP="004449D4">
      <w:pPr>
        <w:suppressAutoHyphens/>
        <w:spacing w:after="0" w:line="276" w:lineRule="auto"/>
        <w:ind w:left="36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3E303C83" w14:textId="77777777" w:rsidR="004449D4" w:rsidRPr="004449D4" w:rsidRDefault="004449D4" w:rsidP="004449D4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14:ligatures w14:val="none"/>
        </w:rPr>
        <w:t xml:space="preserve">W przypadku gwarancji dotyczącej płatności zaliczkowych: dowód poniesienia kosztów związanych z gwarancją finansową, w którym wyszczególniono nazwę i adres podmiotu udzielającego gwarancji, kwotę i walutę gwarancji oraz datę jej udzielenia oraz który opatrzono datą i podpisem przedstawiciela prawnego podmiotu udzielającego gwarancji. </w:t>
      </w:r>
    </w:p>
    <w:p w14:paraId="5B8E3080" w14:textId="77777777" w:rsidR="004449D4" w:rsidRPr="004449D4" w:rsidRDefault="004449D4" w:rsidP="004449D4">
      <w:pPr>
        <w:suppressAutoHyphens/>
        <w:spacing w:after="0" w:line="276" w:lineRule="auto"/>
        <w:ind w:left="1134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8E78034" w14:textId="77777777" w:rsidR="004449D4" w:rsidRPr="004449D4" w:rsidRDefault="004449D4" w:rsidP="004449D4">
      <w:p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wysokich kosztów podróży:</w:t>
      </w:r>
      <w:r w:rsidRPr="004449D4">
        <w:rPr>
          <w:rFonts w:ascii="Segoe UI" w:eastAsia="Aptos" w:hAnsi="Segoe UI" w:cs="Segoe UI"/>
          <w:color w:val="242424"/>
          <w:sz w:val="18"/>
          <w:szCs w:val="18"/>
          <w:shd w:val="clear" w:color="auto" w:fill="FFFFFF"/>
          <w14:ligatures w14:val="none"/>
        </w:rPr>
        <w:t xml:space="preserve"> </w:t>
      </w:r>
      <w:r w:rsidRPr="004449D4">
        <w:rPr>
          <w:rFonts w:ascii="Times New Roman" w:eastAsia="Calibri" w:hAnsi="Times New Roman" w:cs="Times New Roman"/>
          <w:kern w:val="0"/>
          <w:szCs w:val="22"/>
          <w14:ligatures w14:val="none"/>
        </w:rPr>
        <w:t>dowód opłacenia oraz faktury stanowiące dowód opłacenia powiązanych kosztów, w których to fakturach wyszczególniono nazwę i adres podmiotu wystawiającego fakturę, kwotę i walutę oraz datę wystawienia faktury i trasę podróży.</w:t>
      </w:r>
    </w:p>
    <w:p w14:paraId="642E45B2" w14:textId="77777777" w:rsidR="004449D4" w:rsidRPr="004449D4" w:rsidRDefault="004449D4" w:rsidP="004449D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449D4">
        <w:rPr>
          <w:rFonts w:ascii="Times New Roman" w:eastAsia="Calibri" w:hAnsi="Times New Roman" w:cs="Times New Roman"/>
          <w:kern w:val="0"/>
          <w14:ligatures w14:val="none"/>
        </w:rPr>
        <w:t xml:space="preserve"> W przypadku kosztów wiz i kosztów związanych z otrzymaniem wiz, kosztów zezwoleń na pobyt, szczepień i zaświadczeń lekarskich:</w:t>
      </w:r>
      <w:r w:rsidRPr="004449D4">
        <w:rPr>
          <w:rFonts w:ascii="Segoe UI" w:eastAsia="Aptos" w:hAnsi="Segoe UI" w:cs="Segoe UI"/>
          <w:color w:val="242424"/>
          <w:sz w:val="18"/>
          <w:szCs w:val="18"/>
          <w:shd w:val="clear" w:color="auto" w:fill="FFFFFF"/>
          <w14:ligatures w14:val="none"/>
        </w:rPr>
        <w:t xml:space="preserve"> </w:t>
      </w:r>
      <w:r w:rsidRPr="004449D4">
        <w:rPr>
          <w:rFonts w:ascii="Times New Roman" w:eastAsia="Calibri" w:hAnsi="Times New Roman" w:cs="Times New Roman"/>
          <w:kern w:val="0"/>
          <w14:ligatures w14:val="none"/>
        </w:rPr>
        <w:t xml:space="preserve">faktury stanowiące dowód opłacenia powiązanych kosztów, w których to fakturach wyszczególniono nazwę i adres podmiotu wystawiającego fakturę, kwotę i walutę oraz datę wystawienia faktury. </w:t>
      </w:r>
    </w:p>
    <w:p w14:paraId="3BDA45D3" w14:textId="77777777" w:rsidR="004C29E0" w:rsidRDefault="004C29E0"/>
    <w:sectPr w:rsidR="004C29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11198" w14:textId="77777777" w:rsidR="00F01D0A" w:rsidRDefault="00F01D0A" w:rsidP="004449D4">
      <w:pPr>
        <w:spacing w:after="0" w:line="240" w:lineRule="auto"/>
      </w:pPr>
      <w:r>
        <w:separator/>
      </w:r>
    </w:p>
  </w:endnote>
  <w:endnote w:type="continuationSeparator" w:id="0">
    <w:p w14:paraId="6DC0C50D" w14:textId="77777777" w:rsidR="00F01D0A" w:rsidRDefault="00F01D0A" w:rsidP="0044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307339"/>
      <w:docPartObj>
        <w:docPartGallery w:val="Page Numbers (Bottom of Page)"/>
        <w:docPartUnique/>
      </w:docPartObj>
    </w:sdtPr>
    <w:sdtContent>
      <w:p w14:paraId="47F85C16" w14:textId="6D0A66AD" w:rsidR="004449D4" w:rsidRDefault="004449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D665B2" w14:textId="77777777" w:rsidR="004449D4" w:rsidRDefault="004449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F88FD" w14:textId="77777777" w:rsidR="00F01D0A" w:rsidRDefault="00F01D0A" w:rsidP="004449D4">
      <w:pPr>
        <w:spacing w:after="0" w:line="240" w:lineRule="auto"/>
      </w:pPr>
      <w:r>
        <w:separator/>
      </w:r>
    </w:p>
  </w:footnote>
  <w:footnote w:type="continuationSeparator" w:id="0">
    <w:p w14:paraId="73F76517" w14:textId="77777777" w:rsidR="00F01D0A" w:rsidRDefault="00F01D0A" w:rsidP="00444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FBEE83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u w:val="singl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5"/>
    <w:multiLevelType w:val="multilevel"/>
    <w:tmpl w:val="A2621916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u w:val="single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4A847302"/>
    <w:multiLevelType w:val="hybridMultilevel"/>
    <w:tmpl w:val="E7E03010"/>
    <w:lvl w:ilvl="0" w:tplc="1D128CAE">
      <w:start w:val="1"/>
      <w:numFmt w:val="lowerLetter"/>
      <w:lvlText w:val="%1)"/>
      <w:lvlJc w:val="left"/>
      <w:pPr>
        <w:ind w:left="720" w:hanging="360"/>
      </w:pPr>
      <w:rPr>
        <w:rFonts w:eastAsia="Aptos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7143F"/>
    <w:multiLevelType w:val="hybridMultilevel"/>
    <w:tmpl w:val="02ACEEC6"/>
    <w:lvl w:ilvl="0" w:tplc="AA98FEF0">
      <w:start w:val="1"/>
      <w:numFmt w:val="lowerLetter"/>
      <w:lvlText w:val="%1)"/>
      <w:lvlJc w:val="left"/>
      <w:pPr>
        <w:ind w:left="502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4131BA3"/>
    <w:multiLevelType w:val="hybridMultilevel"/>
    <w:tmpl w:val="392809D2"/>
    <w:lvl w:ilvl="0" w:tplc="56BA93CA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E4772"/>
    <w:multiLevelType w:val="hybridMultilevel"/>
    <w:tmpl w:val="9A16DC9A"/>
    <w:lvl w:ilvl="0" w:tplc="8806E48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A2174"/>
    <w:multiLevelType w:val="hybridMultilevel"/>
    <w:tmpl w:val="6EA2DDA6"/>
    <w:lvl w:ilvl="0" w:tplc="71542A2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B2B36"/>
    <w:multiLevelType w:val="hybridMultilevel"/>
    <w:tmpl w:val="4372FCF0"/>
    <w:lvl w:ilvl="0" w:tplc="3142F9D0">
      <w:start w:val="1"/>
      <w:numFmt w:val="lowerLetter"/>
      <w:lvlText w:val="%1)"/>
      <w:lvlJc w:val="left"/>
      <w:pPr>
        <w:ind w:left="1080" w:hanging="360"/>
      </w:pPr>
      <w:rPr>
        <w:rFonts w:eastAsia="Aptos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-1668" w:hanging="360"/>
      </w:pPr>
    </w:lvl>
    <w:lvl w:ilvl="2" w:tplc="0809001B" w:tentative="1">
      <w:start w:val="1"/>
      <w:numFmt w:val="lowerRoman"/>
      <w:lvlText w:val="%3."/>
      <w:lvlJc w:val="right"/>
      <w:pPr>
        <w:ind w:left="-948" w:hanging="180"/>
      </w:pPr>
    </w:lvl>
    <w:lvl w:ilvl="3" w:tplc="0809000F" w:tentative="1">
      <w:start w:val="1"/>
      <w:numFmt w:val="decimal"/>
      <w:lvlText w:val="%4."/>
      <w:lvlJc w:val="left"/>
      <w:pPr>
        <w:ind w:left="-228" w:hanging="360"/>
      </w:pPr>
    </w:lvl>
    <w:lvl w:ilvl="4" w:tplc="08090019" w:tentative="1">
      <w:start w:val="1"/>
      <w:numFmt w:val="lowerLetter"/>
      <w:lvlText w:val="%5."/>
      <w:lvlJc w:val="left"/>
      <w:pPr>
        <w:ind w:left="492" w:hanging="360"/>
      </w:pPr>
    </w:lvl>
    <w:lvl w:ilvl="5" w:tplc="0809001B" w:tentative="1">
      <w:start w:val="1"/>
      <w:numFmt w:val="lowerRoman"/>
      <w:lvlText w:val="%6."/>
      <w:lvlJc w:val="right"/>
      <w:pPr>
        <w:ind w:left="1212" w:hanging="180"/>
      </w:pPr>
    </w:lvl>
    <w:lvl w:ilvl="6" w:tplc="0809000F" w:tentative="1">
      <w:start w:val="1"/>
      <w:numFmt w:val="decimal"/>
      <w:lvlText w:val="%7."/>
      <w:lvlJc w:val="left"/>
      <w:pPr>
        <w:ind w:left="1932" w:hanging="360"/>
      </w:pPr>
    </w:lvl>
    <w:lvl w:ilvl="7" w:tplc="08090019" w:tentative="1">
      <w:start w:val="1"/>
      <w:numFmt w:val="lowerLetter"/>
      <w:lvlText w:val="%8."/>
      <w:lvlJc w:val="left"/>
      <w:pPr>
        <w:ind w:left="2652" w:hanging="360"/>
      </w:pPr>
    </w:lvl>
    <w:lvl w:ilvl="8" w:tplc="0809001B" w:tentative="1">
      <w:start w:val="1"/>
      <w:numFmt w:val="lowerRoman"/>
      <w:lvlText w:val="%9."/>
      <w:lvlJc w:val="right"/>
      <w:pPr>
        <w:ind w:left="3372" w:hanging="180"/>
      </w:pPr>
    </w:lvl>
  </w:abstractNum>
  <w:abstractNum w:abstractNumId="8" w15:restartNumberingAfterBreak="0">
    <w:nsid w:val="72DB7A3C"/>
    <w:multiLevelType w:val="multilevel"/>
    <w:tmpl w:val="23A24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48444A9"/>
    <w:multiLevelType w:val="hybridMultilevel"/>
    <w:tmpl w:val="F42E4530"/>
    <w:lvl w:ilvl="0" w:tplc="14BE44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9405">
    <w:abstractNumId w:val="0"/>
  </w:num>
  <w:num w:numId="2" w16cid:durableId="2108188276">
    <w:abstractNumId w:val="1"/>
  </w:num>
  <w:num w:numId="3" w16cid:durableId="1026759666">
    <w:abstractNumId w:val="4"/>
  </w:num>
  <w:num w:numId="4" w16cid:durableId="1324427299">
    <w:abstractNumId w:val="3"/>
  </w:num>
  <w:num w:numId="5" w16cid:durableId="208037379">
    <w:abstractNumId w:val="6"/>
  </w:num>
  <w:num w:numId="6" w16cid:durableId="1530340627">
    <w:abstractNumId w:val="7"/>
  </w:num>
  <w:num w:numId="7" w16cid:durableId="331378251">
    <w:abstractNumId w:val="5"/>
  </w:num>
  <w:num w:numId="8" w16cid:durableId="1067191062">
    <w:abstractNumId w:val="8"/>
  </w:num>
  <w:num w:numId="9" w16cid:durableId="2090350835">
    <w:abstractNumId w:val="2"/>
  </w:num>
  <w:num w:numId="10" w16cid:durableId="227038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D4"/>
    <w:rsid w:val="004449D4"/>
    <w:rsid w:val="004C29E0"/>
    <w:rsid w:val="00865926"/>
    <w:rsid w:val="00CB4BA6"/>
    <w:rsid w:val="00F0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D7C7"/>
  <w15:chartTrackingRefBased/>
  <w15:docId w15:val="{D64AB8DA-3476-4363-A870-B0ECE8EE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4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4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4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4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4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4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4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4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4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49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49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49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49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49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49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4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4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4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4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4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49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49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49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4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49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49D4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9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9D4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4449D4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4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9D4"/>
  </w:style>
  <w:style w:type="paragraph" w:styleId="Stopka">
    <w:name w:val="footer"/>
    <w:basedOn w:val="Normalny"/>
    <w:link w:val="StopkaZnak"/>
    <w:uiPriority w:val="99"/>
    <w:unhideWhenUsed/>
    <w:rsid w:val="00444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.europa.eu/programmes/erasmus-plus/resources/distance-calculator_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1742</Words>
  <Characters>10455</Characters>
  <Application>Microsoft Office Word</Application>
  <DocSecurity>0</DocSecurity>
  <Lines>87</Lines>
  <Paragraphs>24</Paragraphs>
  <ScaleCrop>false</ScaleCrop>
  <Company>Fundacja Rozwoju Systemu Edukacji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Drzewicka</dc:creator>
  <cp:keywords/>
  <dc:description/>
  <cp:lastModifiedBy>Barbara Drzewicka</cp:lastModifiedBy>
  <cp:revision>1</cp:revision>
  <dcterms:created xsi:type="dcterms:W3CDTF">2026-06-05T11:46:00Z</dcterms:created>
  <dcterms:modified xsi:type="dcterms:W3CDTF">2026-06-05T11:48:00Z</dcterms:modified>
</cp:coreProperties>
</file>