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3041" w:rsidR="003F3041" w:rsidP="003F3041" w:rsidRDefault="003F3041" w14:paraId="5297A149" w14:textId="405837F5">
      <w:pPr>
        <w:keepNext/>
        <w:keepLines/>
        <w:spacing w:before="200" w:after="600" w:line="240" w:lineRule="auto"/>
        <w:jc w:val="center"/>
        <w:outlineLvl w:val="5"/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3F3041"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ZAŁĄCZNIK 2 –OBOWIĄZUJĄCE PRZEPISY związane z kwalifikowalnością kosztów i WKŁADÓW</w:t>
      </w:r>
    </w:p>
    <w:p w:rsidRPr="003F3041" w:rsidR="003F3041" w:rsidP="003F3041" w:rsidRDefault="003F3041" w14:paraId="1E134962" w14:textId="77777777">
      <w:pPr>
        <w:keepNext/>
        <w:keepLines/>
        <w:spacing w:after="0" w:line="240" w:lineRule="auto"/>
        <w:jc w:val="center"/>
        <w:outlineLvl w:val="5"/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3F3041"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KA 151</w:t>
      </w:r>
    </w:p>
    <w:p w:rsidRPr="003F3041" w:rsidR="003F3041" w:rsidP="003F3041" w:rsidRDefault="003F3041" w14:paraId="64F3029A" w14:textId="77777777">
      <w:pPr>
        <w:keepNext/>
        <w:keepLines/>
        <w:spacing w:after="0" w:line="240" w:lineRule="auto"/>
        <w:jc w:val="center"/>
        <w:outlineLvl w:val="5"/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  <w:r w:rsidRPr="003F3041"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  <w:t>(you)</w:t>
      </w:r>
    </w:p>
    <w:p w:rsidRPr="003F3041" w:rsidR="003F3041" w:rsidP="003F3041" w:rsidRDefault="003F3041" w14:paraId="59B7AB28" w14:textId="77777777">
      <w:pPr>
        <w:keepNext/>
        <w:keepLines/>
        <w:spacing w:after="0" w:line="240" w:lineRule="auto"/>
        <w:jc w:val="center"/>
        <w:outlineLvl w:val="5"/>
        <w:rPr>
          <w:rFonts w:ascii="Times New Roman" w:hAnsi="Times New Roman" w:eastAsia="Times New Roman" w:cs="Times New Roman"/>
          <w:b/>
          <w:iCs/>
          <w:caps/>
          <w:smallCaps/>
          <w:color w:val="000000"/>
          <w:kern w:val="0"/>
          <w:szCs w:val="28"/>
          <w:u w:val="single"/>
          <w:lang w:eastAsia="en-GB"/>
          <w14:ligatures w14:val="none"/>
        </w:rPr>
      </w:pPr>
    </w:p>
    <w:p w:rsidRPr="003F3041" w:rsidR="003F3041" w:rsidP="003F3041" w:rsidRDefault="003F3041" w14:paraId="762DF5DE" w14:textId="77777777">
      <w:pPr>
        <w:keepNext/>
        <w:keepLines/>
        <w:numPr>
          <w:ilvl w:val="0"/>
          <w:numId w:val="9"/>
        </w:numPr>
        <w:spacing w:before="200" w:after="200" w:line="240" w:lineRule="auto"/>
        <w:jc w:val="both"/>
        <w:outlineLvl w:val="0"/>
        <w:rPr>
          <w:rFonts w:ascii="Times New Roman Bold" w:hAnsi="Times New Roman Bold" w:eastAsia="Calibri" w:cs="Times New Roman"/>
          <w:b/>
          <w:bCs/>
          <w:smallCaps/>
          <w:kern w:val="0"/>
          <w:szCs w:val="28"/>
          <w:u w:val="single"/>
          <w14:ligatures w14:val="none"/>
        </w:rPr>
      </w:pPr>
      <w:r w:rsidRPr="003F3041">
        <w:rPr>
          <w:rFonts w:ascii="Times New Roman Bold" w:hAnsi="Times New Roman Bold" w:eastAsia="Times New Roman" w:cs="Times New Roman"/>
          <w:b/>
          <w:bCs/>
          <w:smallCaps/>
          <w:kern w:val="0"/>
          <w:szCs w:val="28"/>
          <w:u w:val="single"/>
          <w14:ligatures w14:val="none"/>
        </w:rPr>
        <w:t xml:space="preserve">Wkłady jednostkowe </w:t>
      </w:r>
    </w:p>
    <w:p w:rsidRPr="003F3041" w:rsidR="003F3041" w:rsidP="003F3041" w:rsidRDefault="003F3041" w14:paraId="5C3E4BC5" w14:textId="77777777">
      <w:pPr>
        <w:spacing w:after="200" w:line="259" w:lineRule="auto"/>
        <w:jc w:val="both"/>
        <w:rPr>
          <w:rFonts w:ascii="Times New Roman" w:hAnsi="Times New Roman" w:eastAsia="Calibri" w:cs="Times New Roman"/>
          <w:b/>
          <w:kern w:val="0"/>
          <w:szCs w:val="22"/>
          <w14:ligatures w14:val="none"/>
        </w:rPr>
      </w:pPr>
      <w:r w:rsidRPr="003F3041">
        <w:rPr>
          <w:rFonts w:ascii="Times New Roman" w:hAnsi="Times New Roman" w:eastAsia="Calibri" w:cs="Times New Roman"/>
          <w:b/>
          <w:kern w:val="0"/>
          <w:szCs w:val="22"/>
          <w14:ligatures w14:val="none"/>
        </w:rPr>
        <w:t>1.1 Podróż</w:t>
      </w:r>
    </w:p>
    <w:p w:rsidRPr="003F3041" w:rsidR="003F3041" w:rsidP="003F3041" w:rsidRDefault="003F3041" w14:paraId="5CEDA3CC" w14:textId="77777777">
      <w:pPr>
        <w:spacing w:after="200" w:line="259" w:lineRule="auto"/>
        <w:jc w:val="both"/>
        <w:rPr>
          <w:rFonts w:ascii="Times New Roman" w:hAnsi="Times New Roman" w:eastAsia="Calibri" w:cs="Times New Roman"/>
          <w:kern w:val="0"/>
          <w:sz w:val="22"/>
          <w14:ligatures w14:val="none"/>
        </w:rPr>
      </w:pPr>
      <w:r w:rsidRPr="003F3041">
        <w:rPr>
          <w:rFonts w:ascii="Times New Roman" w:hAnsi="Times New Roman" w:eastAsia="Calibri" w:cs="Times New Roman"/>
          <w:b/>
          <w:kern w:val="0"/>
          <w:szCs w:val="22"/>
          <w14:ligatures w14:val="none"/>
        </w:rPr>
        <w:t>Miejsce pochodzenia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: miejsce, w którym znajduje się organizacja wysyłająca</w:t>
      </w:r>
      <w:r w:rsidRPr="003F3041">
        <w:rPr>
          <w:rFonts w:ascii="Times New Roman" w:hAnsi="Times New Roman" w:eastAsia="Calibri" w:cs="Times New Roman"/>
          <w:kern w:val="0"/>
          <w:sz w:val="22"/>
          <w:szCs w:val="22"/>
          <w14:ligatures w14:val="none"/>
        </w:rPr>
        <w:t>.</w:t>
      </w:r>
    </w:p>
    <w:p w:rsidRPr="003F3041" w:rsidR="003F3041" w:rsidP="003F3041" w:rsidRDefault="003F3041" w14:paraId="23B1C425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b/>
          <w:kern w:val="0"/>
          <w:szCs w:val="22"/>
          <w14:ligatures w14:val="none"/>
        </w:rPr>
        <w:t>Zrównoważone środki transportu: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rower, autobus, car-</w:t>
      </w:r>
      <w:proofErr w:type="spellStart"/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pooling</w:t>
      </w:r>
      <w:proofErr w:type="spellEnd"/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(tj. wspólne przejazdy samochodem co najmniej dwóch pasażerów, gdzie kierowca dzieli koszty na paliwo wspólnie z pasażerem/pasażerami) i pociąg. </w:t>
      </w:r>
      <w:r w:rsidRPr="003F3041">
        <w:rPr>
          <w:rFonts w:ascii="Times New Roman" w:hAnsi="Times New Roman" w:eastAsia="Calibri" w:cs="Arial"/>
          <w:kern w:val="0"/>
          <w:szCs w:val="22"/>
          <w14:ligatures w14:val="none"/>
        </w:rPr>
        <w:t xml:space="preserve">Statek będzie uważany za ekologiczny środek transportu tylko w połączeniu z innym niskoemisyjnym środkiem transportu. 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Agencja narodowa może uznać inne środki transportu za zrównoważone w oparciu o utrwaloną praktykę, indywidualnie dla każdego przypadku. </w:t>
      </w:r>
    </w:p>
    <w:p w:rsidRPr="003F3041" w:rsidR="003F3041" w:rsidP="003F3041" w:rsidRDefault="003F3041" w14:paraId="75BE7CA8" w14:textId="619E1B2C">
      <w:pPr>
        <w:spacing w:after="200" w:line="240" w:lineRule="auto"/>
        <w:jc w:val="both"/>
        <w:rPr>
          <w:rFonts w:ascii="Times New Roman" w:hAnsi="Times New Roman" w:eastAsia="Times New Roman" w:cs="Times New Roman"/>
          <w:kern w:val="0"/>
          <w:lang w:eastAsia="zh-CN"/>
          <w14:ligatures w14:val="none"/>
        </w:rPr>
      </w:pPr>
      <w:r w:rsidRPr="5BFFE543"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 xml:space="preserve">Wkład jednostkowy na podróż zrównoważonymi środkami transportu (podróż z wykorzystaniem ekologicznych środków transportu) jest kwalifikowalny, jeżeli co najmniej połowę podróży w obie strony odbyto zrównoważonymi środkami transportu (pod względem przebytej odległości wyrażoną w </w:t>
      </w:r>
      <w:r w:rsidRPr="5BFFE543"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>kilometrach)</w:t>
      </w:r>
      <w:r w:rsidRPr="5BFFE543">
        <w:rPr>
          <w:rFonts w:ascii="Times New Roman" w:hAnsi="Times New Roman" w:eastAsia="Times New Roman" w:cs="Times New Roman"/>
          <w:kern w:val="0"/>
          <w:lang w:eastAsia="zh-CN"/>
          <w14:ligatures w14:val="none"/>
        </w:rPr>
        <w:t>.</w:t>
      </w:r>
    </w:p>
    <w:p w:rsidRPr="003F3041" w:rsidR="003F3041" w:rsidP="003F3041" w:rsidRDefault="003F3041" w14:paraId="27C1223B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bookmarkStart w:name="_Hlk166843825" w:id="0"/>
      <w:r w:rsidRPr="003F3041">
        <w:rPr>
          <w:rFonts w:ascii="Times New Roman" w:hAnsi="Times New Roman" w:eastAsia="Calibri" w:cs="Times New Roman"/>
          <w:b/>
          <w:kern w:val="0"/>
          <w:szCs w:val="22"/>
          <w14:ligatures w14:val="none"/>
        </w:rPr>
        <w:t>Wkład jednostkowy w przeliczeniu na przedział odległości</w:t>
      </w:r>
      <w:r w:rsidRPr="003F3041">
        <w:rPr>
          <w:rFonts w:ascii="Times New Roman" w:hAnsi="Times New Roman" w:eastAsia="Calibri" w:cs="Times New Roman"/>
          <w:kern w:val="0"/>
          <w:sz w:val="22"/>
          <w:szCs w:val="22"/>
          <w14:ligatures w14:val="none"/>
        </w:rPr>
        <w:t xml:space="preserve">: 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koszt podróży w obie strony między miejscem wyjazdu a miejscem przyjazdu.</w:t>
      </w:r>
    </w:p>
    <w:bookmarkEnd w:id="0"/>
    <w:p w:rsidRPr="003F3041" w:rsidR="003F3041" w:rsidP="003F3041" w:rsidRDefault="003F3041" w14:paraId="374B0C2C" w14:textId="7B2F3E6E">
      <w:pPr>
        <w:spacing w:after="200" w:line="259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 xml:space="preserve">Miejsce </w:t>
      </w:r>
      <w:r w:rsidRPr="003F3041">
        <w:rPr>
          <w:rFonts w:ascii="Times New Roman" w:hAnsi="Times New Roman" w:eastAsia="Calibri" w:cs="Times New Roman"/>
          <w:b w:val="1"/>
          <w:bCs w:val="1"/>
          <w:kern w:val="0"/>
          <w14:ligatures w14:val="none"/>
        </w:rPr>
        <w:t>działania</w:t>
      </w:r>
      <w:r w:rsidRPr="003F3041">
        <w:rPr>
          <w:rFonts w:ascii="Times New Roman" w:hAnsi="Times New Roman" w:eastAsia="Calibri" w:cs="Times New Roman"/>
          <w:kern w:val="0"/>
          <w:sz w:val="22"/>
          <w:szCs w:val="22"/>
          <w14:ligatures w14:val="none"/>
        </w:rPr>
        <w:t xml:space="preserve">: </w:t>
      </w:r>
      <w:r w:rsidRPr="003F3041">
        <w:rPr>
          <w:rFonts w:ascii="Times New Roman" w:hAnsi="Times New Roman" w:eastAsia="Calibri" w:cs="Times New Roman"/>
          <w:kern w:val="0"/>
          <w14:ligatures w14:val="none"/>
        </w:rPr>
        <w:t>miejsce</w:t>
      </w:r>
      <w:r w:rsidRPr="003F3041">
        <w:rPr>
          <w:rFonts w:ascii="Times New Roman" w:hAnsi="Times New Roman" w:eastAsia="Calibri" w:cs="Times New Roman"/>
          <w:kern w:val="0"/>
          <w14:ligatures w14:val="none"/>
        </w:rPr>
        <w:t>, w którym znajduje się organizacja przyjmująca</w:t>
      </w:r>
      <w:r w:rsidRPr="003F3041">
        <w:rPr>
          <w:rFonts w:ascii="Times New Roman" w:hAnsi="Times New Roman" w:eastAsia="Calibri" w:cs="Times New Roman"/>
          <w:kern w:val="0"/>
          <w:sz w:val="22"/>
          <w:szCs w:val="22"/>
          <w14:ligatures w14:val="none"/>
        </w:rPr>
        <w:t>.</w:t>
      </w:r>
      <w:r w:rsidRPr="003F3041">
        <w:rPr>
          <w:rFonts w:ascii="Times New Roman" w:hAnsi="Times New Roman" w:eastAsia="Calibri" w:cs="Times New Roman"/>
          <w:kern w:val="0"/>
          <w14:ligatures w14:val="none"/>
        </w:rPr>
        <w:t xml:space="preserve"> </w:t>
      </w:r>
    </w:p>
    <w:p w:rsidRPr="003F3041" w:rsidR="003F3041" w:rsidP="003F3041" w:rsidRDefault="003F3041" w14:paraId="551ECC8C" w14:textId="77777777">
      <w:pPr>
        <w:spacing w:after="200" w:line="259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W przypadku zgłoszenia innego miejsca pochodzenia lub miejsca działania beneficjent musi uzasadnić taką zmianę.</w:t>
      </w:r>
    </w:p>
    <w:p w:rsidRPr="003F3041" w:rsidR="003F3041" w:rsidP="003F3041" w:rsidRDefault="003F3041" w14:paraId="199A0B87" w14:textId="77777777">
      <w:pPr>
        <w:spacing w:after="200" w:line="259" w:lineRule="auto"/>
        <w:jc w:val="both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Czas podróży nie będzie brany pod uwagę przy ustalaniu zgodności z minimalnym kwalifikowalnym czasem trwania działań w zakresie mobilności określonym w „Przewodniku po programie”. </w:t>
      </w:r>
    </w:p>
    <w:p w:rsidRPr="003F3041" w:rsidR="003F3041" w:rsidP="003F3041" w:rsidRDefault="003F3041" w14:paraId="45B8E667" w14:textId="77777777">
      <w:pPr>
        <w:suppressAutoHyphens/>
        <w:spacing w:line="276" w:lineRule="auto"/>
        <w:ind w:left="360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a) Obliczanie całkowitego wkładu jednostkowego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: </w:t>
      </w:r>
    </w:p>
    <w:p w:rsidRPr="003F3041" w:rsidR="003F3041" w:rsidP="003F3041" w:rsidRDefault="003F3041" w14:paraId="616BC546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Całkowity wkład jednostkowy na podróż oblicza się, mnożąc liczbę uczestników i osób towarzyszących, osób wspomagających proces kształcenia oraz liderów grupy w danym przedziale odległości przez wkład jednostkowy mający zastosowanie do danego przedziału odległości i rodzaju podróży (z wykorzystaniem lub bez wykorzystania ekologicznych środków transportu), jak określono w załączniku 3 do umowy. </w:t>
      </w:r>
    </w:p>
    <w:p w:rsidRPr="003F3041" w:rsidR="003F3041" w:rsidP="003F3041" w:rsidRDefault="003F3041" w14:paraId="7E7BEFAF" w14:textId="77777777">
      <w:pPr>
        <w:suppressAutoHyphens/>
        <w:spacing w:after="200" w:line="276" w:lineRule="auto"/>
        <w:jc w:val="both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 xml:space="preserve">W przypadku działań objazdowych całkowity wkład jednostkowy oblicza się, mnożąc liczbę uczestników w danym przedziale odległości odpowiadającym sumie 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odległości między poszczególnymi miejscami przez wkład jednostkowy mający zastosowanie do danego 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przedziału odległości i rodzaju podróży (z wykorzystaniem lub bez wykorzystania ekologicznych środków transportu), jak określono w załączniku 3 do umowy.</w:t>
      </w:r>
    </w:p>
    <w:p w:rsidRPr="003F3041" w:rsidR="003F3041" w:rsidP="003F3041" w:rsidRDefault="003F3041" w14:paraId="73A703EF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Aby ustalić odpowiedni przedział odległości, beneficjent wskazuje odległość pokonywaną podczas podróży w jedną stronę, obliczoną za pomocą kalkulatora odległości online dostępnego na stronie internetowej Komisji pod adresem: </w:t>
      </w:r>
      <w:hyperlink w:history="1" r:id="rId7">
        <w:r w:rsidRPr="003F3041">
          <w:rPr>
            <w:rFonts w:ascii="Times New Roman" w:hAnsi="Times New Roman" w:eastAsia="Calibri" w:cs="Times New Roman"/>
            <w:color w:val="0000FF"/>
            <w:kern w:val="0"/>
            <w:szCs w:val="22"/>
            <w:u w:val="single"/>
            <w14:ligatures w14:val="none"/>
          </w:rPr>
          <w:t>http://ec.europa.eu/programmes/erasmus-plus/resources/distance-calculator_pl</w:t>
        </w:r>
      </w:hyperlink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. </w:t>
      </w:r>
    </w:p>
    <w:p w:rsidRPr="003F3041" w:rsidR="003F3041" w:rsidP="003F3041" w:rsidRDefault="003F3041" w14:paraId="694ECF4C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Beneficjent oblicza całkowity wkład jednostkowy na dofinansowanie kosztów podróży za pośrednictwem narzędzia sprawozdawczości i zarządzania programem Erasmus+ na podstawie mających zastosowanie stawek wkładu jednostkowego. </w:t>
      </w:r>
    </w:p>
    <w:p w:rsidRPr="003F3041" w:rsidR="003F3041" w:rsidP="003F3041" w:rsidRDefault="003F3041" w14:paraId="0F7390F8" w14:textId="77777777">
      <w:pPr>
        <w:numPr>
          <w:ilvl w:val="0"/>
          <w:numId w:val="2"/>
        </w:numPr>
        <w:suppressAutoHyphens/>
        <w:spacing w:after="200" w:line="100" w:lineRule="atLeast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Zdarzenie inicjujące</w:t>
      </w:r>
    </w:p>
    <w:p w:rsidRPr="003F3041" w:rsidR="003F3041" w:rsidP="003F3041" w:rsidRDefault="003F3041" w14:paraId="5F8D4552" w14:textId="77777777">
      <w:pPr>
        <w:suppressAutoHyphens/>
        <w:spacing w:after="0" w:line="100" w:lineRule="atLeast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Podróż kwalifikuje się wtedy, gdy uczestnik faktycznie podjął działanie.</w:t>
      </w:r>
    </w:p>
    <w:p w:rsidRPr="003F3041" w:rsidR="003F3041" w:rsidP="003F3041" w:rsidRDefault="003F3041" w14:paraId="49A942B7" w14:textId="77777777">
      <w:pPr>
        <w:suppressAutoHyphens/>
        <w:spacing w:after="0" w:line="100" w:lineRule="atLeast"/>
        <w:ind w:left="502"/>
        <w:rPr>
          <w:rFonts w:ascii="Times New Roman" w:hAnsi="Times New Roman" w:eastAsia="Calibri" w:cs="Times New Roman"/>
          <w:kern w:val="0"/>
          <w:lang w:eastAsia="ar-SA"/>
          <w14:ligatures w14:val="none"/>
        </w:rPr>
      </w:pPr>
    </w:p>
    <w:p w:rsidRPr="003F3041" w:rsidR="003F3041" w:rsidP="003F3041" w:rsidRDefault="003F3041" w14:paraId="7D713DD8" w14:textId="77777777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eastAsia="Calibri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Times New Roman" w:cs="Times New Roman"/>
          <w:color w:val="000000"/>
          <w:kern w:val="0"/>
          <w:szCs w:val="22"/>
          <w:u w:val="single"/>
          <w14:ligatures w14:val="none"/>
        </w:rPr>
        <w:t>Dokumenty potwierdzające</w:t>
      </w:r>
    </w:p>
    <w:p w:rsidRPr="003F3041" w:rsidR="003F3041" w:rsidP="003F3041" w:rsidRDefault="003F3041" w14:paraId="7C5E7FBA" w14:textId="77777777">
      <w:pPr>
        <w:suppressAutoHyphens/>
        <w:spacing w:after="0" w:line="100" w:lineRule="atLeast"/>
        <w:ind w:left="720"/>
        <w:rPr>
          <w:rFonts w:ascii="Times New Roman" w:hAnsi="Times New Roman" w:eastAsia="SimSun" w:cs="Times New Roman"/>
          <w:color w:val="000000"/>
          <w:kern w:val="0"/>
          <w:lang w:eastAsia="ar-SA"/>
          <w14:ligatures w14:val="none"/>
        </w:rPr>
      </w:pPr>
    </w:p>
    <w:p w:rsidRPr="003F3041" w:rsidR="003F3041" w:rsidP="003F3041" w:rsidRDefault="003F3041" w14:paraId="5056F0F0" w14:textId="77777777">
      <w:pPr>
        <w:suppressAutoHyphens/>
        <w:spacing w:after="200" w:line="276" w:lineRule="auto"/>
        <w:jc w:val="both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Dokumentem potwierdzającym jest oświadczenie podpisane przez uczestnika (w tym przez osoby prowadzące szkolenia, osoby wspomagające proces kształcenia, liderów grupy i decydentów oraz osobę towarzyszącą), w którym to oświadczeniu wyszczególniono imię i nazwisko uczestnika/osoby towarzyszącej, cel działania, a także daty jego rozpoczęcia i zakończenia.</w:t>
      </w:r>
    </w:p>
    <w:p w:rsidRPr="003F3041" w:rsidR="003F3041" w:rsidP="003F3041" w:rsidRDefault="003F3041" w14:paraId="32661675" w14:textId="77777777">
      <w:p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 xml:space="preserve">Ponadto, oprócz dokumentów potwierdzających, w przypadku korzystania ze zrównoważonych środków transportu (podróż z wykorzystaniem ekologicznych środków transportu): dokumentem potwierdzającym będzie oświadczenie podpisane przez osobę otrzymującą dotację na pokrycie kosztów podróży. </w:t>
      </w:r>
    </w:p>
    <w:p w:rsidRPr="003F3041" w:rsidR="003F3041" w:rsidP="003F3041" w:rsidRDefault="003F3041" w14:paraId="1178563B" w14:textId="77777777">
      <w:pPr>
        <w:suppressAutoHyphens/>
        <w:autoSpaceDE w:val="0"/>
        <w:autoSpaceDN w:val="0"/>
        <w:spacing w:after="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:rsidRPr="003F3041" w:rsidR="003F3041" w:rsidP="003F3041" w:rsidRDefault="003F3041" w14:paraId="5090D319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Jeżeli miejsce rozpoczęcia podróży jest inne niż miejsce pochodzenia lub miejsce zakończenia podróży jest inne niż miejsce działania, beneficjent musi zgłosić przyczynę tej różnicy. W przypadku gdy podróż nie odbyła się lub gdy została sfinansowana ze źródeł innych niż program Erasmus+, beneficjent wskazuje w swoim sprawozdaniu, że dofinansowanie kosztów podróży nie jest wymagane.</w:t>
      </w:r>
    </w:p>
    <w:p w:rsidRPr="003F3041" w:rsidR="003F3041" w:rsidP="003F3041" w:rsidRDefault="003F3041" w14:paraId="5EFF52BA" w14:textId="77777777">
      <w:pPr>
        <w:keepNext/>
        <w:keepLines/>
        <w:spacing w:before="240" w:after="200" w:line="240" w:lineRule="auto"/>
        <w:jc w:val="both"/>
        <w:outlineLvl w:val="1"/>
        <w:rPr>
          <w:rFonts w:ascii="Times New Roman Bold" w:hAnsi="Times New Roman Bold" w:eastAsia="Calibri" w:cs="Times New Roman"/>
          <w:kern w:val="0"/>
          <w14:ligatures w14:val="none"/>
        </w:rPr>
      </w:pPr>
      <w:r w:rsidRPr="003F304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1.2 Wsparcie indywidualne</w:t>
      </w:r>
    </w:p>
    <w:p w:rsidRPr="003F3041" w:rsidR="003F3041" w:rsidP="003F3041" w:rsidRDefault="003F3041" w14:paraId="041591F3" w14:textId="77777777">
      <w:pPr>
        <w:numPr>
          <w:ilvl w:val="0"/>
          <w:numId w:val="3"/>
        </w:numPr>
        <w:tabs>
          <w:tab w:val="left" w:pos="567"/>
        </w:tabs>
        <w:suppressAutoHyphens/>
        <w:spacing w:after="24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całkowitego wkładu jednostkowego</w:t>
      </w: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: </w:t>
      </w:r>
    </w:p>
    <w:p w:rsidRPr="003F3041" w:rsidR="003F3041" w:rsidP="003F3041" w:rsidRDefault="003F3041" w14:paraId="4A8CCBBA" w14:textId="77777777">
      <w:pPr>
        <w:tabs>
          <w:tab w:val="left" w:pos="0"/>
        </w:tabs>
        <w:suppressAutoHyphens/>
        <w:spacing w:after="24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Całkowity wkład jednostkowy oblicza się, mnożąc liczbę dni działania w przeliczeniu na uczestnika i osobę towarzyszącą z uwzględnieniem decydentów, liderów grupy, osób prowadzących szkolenia i osób wspomagających proces kształcenia przez wkład jednostkowy mający zastosowanie w przeliczeniu na dzień w danym kraju przyjmującym, jak określono w załączniku 3 do umowy. Można dodać dni podróży, jeżeli są one istotne dla danego działania. </w:t>
      </w:r>
    </w:p>
    <w:p w:rsidRPr="003F3041" w:rsidR="003F3041" w:rsidP="003F3041" w:rsidRDefault="003F3041" w14:paraId="16707E1B" w14:textId="77777777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W przypadku przerwania pobytu okres przerwy nie będzie brany pod uwagę przy obliczaniu dotacji na wsparcie indywidualne. W przypadku przerwy spowodowanej siłą wyższą uczestnik 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musi mieć możliwość wznowienia i kontynuowania działań po ich przerwaniu (na warunkach określonych w niniejszej umowie).</w:t>
      </w:r>
    </w:p>
    <w:p w:rsidRPr="003F3041" w:rsidR="003F3041" w:rsidP="003F3041" w:rsidRDefault="003F3041" w14:paraId="74A29BFC" w14:textId="77777777">
      <w:pPr>
        <w:tabs>
          <w:tab w:val="left" w:pos="284"/>
          <w:tab w:val="left" w:pos="993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5BFFE543">
        <w:rPr>
          <w:rFonts w:ascii="Times New Roman" w:hAnsi="Times New Roman" w:eastAsia="Calibri" w:cs="Times New Roman"/>
          <w:kern w:val="0"/>
          <w14:ligatures w14:val="none"/>
        </w:rPr>
        <w:t>W przypadku rozwiązania przez uczestnika umowy ze względu na działanie siły wyższej uczestnik musi mieć prawo do otrzymania kwoty dotacji w wysokości odpowiadającej rzeczywistemu czasowi trwania okresu mobilności. Wszelkie pozostałe środki muszą zostać zwrócone beneficjentowi, chyba, że strony uzgodniły inaczej.</w:t>
      </w:r>
    </w:p>
    <w:p w:rsidRPr="003F3041" w:rsidR="003F3041" w:rsidP="003F3041" w:rsidRDefault="003F3041" w14:paraId="1D470C02" w14:textId="77777777">
      <w:pPr>
        <w:numPr>
          <w:ilvl w:val="0"/>
          <w:numId w:val="3"/>
        </w:numPr>
        <w:tabs>
          <w:tab w:val="left" w:pos="567"/>
        </w:tabs>
        <w:suppressAutoHyphens/>
        <w:spacing w:after="240" w:line="100" w:lineRule="atLeast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Zdarzenie inicjujące:</w:t>
      </w: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3F3041" w:rsidR="003F3041" w:rsidP="003F3041" w:rsidRDefault="003F3041" w14:paraId="49A46D23" w14:textId="77777777">
      <w:pPr>
        <w:tabs>
          <w:tab w:val="left" w:pos="567"/>
        </w:tabs>
        <w:suppressAutoHyphens/>
        <w:spacing w:after="240" w:line="100" w:lineRule="atLeast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Wsparcie indywidualne jest kwalifikowalne (uprawnione) tylko wtedy, gdy uczestnik faktycznie podjął działanie w określonym czasie.</w:t>
      </w:r>
    </w:p>
    <w:p w:rsidRPr="003F3041" w:rsidR="003F3041" w:rsidP="003F3041" w:rsidRDefault="003F3041" w14:paraId="43FBAB56" w14:textId="77777777">
      <w:pPr>
        <w:numPr>
          <w:ilvl w:val="0"/>
          <w:numId w:val="3"/>
        </w:numPr>
        <w:suppressAutoHyphens/>
        <w:spacing w:after="240" w:line="100" w:lineRule="atLeast"/>
        <w:ind w:left="567" w:hanging="425"/>
        <w:rPr>
          <w:rFonts w:ascii="Times New Roman" w:hAnsi="Times New Roman" w:eastAsia="Calibri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:u w:val="single"/>
          <w14:ligatures w14:val="none"/>
        </w:rPr>
        <w:t>Dokumenty potwierdzające:</w:t>
      </w:r>
    </w:p>
    <w:p w:rsidRPr="003F3041" w:rsidR="003F3041" w:rsidP="003F3041" w:rsidRDefault="003F3041" w14:paraId="28E8D0FE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Dokumentem potwierdzającym jest oświadczenie podpisane przez uczestnika i organizację przyjmującą, w którym wyszczególniono imię i nazwisko uczestnika, cel działania, a także daty jego rozpoczęcia i zakończenia.</w:t>
      </w:r>
    </w:p>
    <w:p w:rsidRPr="003F3041" w:rsidR="003F3041" w:rsidP="003F3041" w:rsidRDefault="003F3041" w14:paraId="06A67672" w14:textId="77777777">
      <w:pPr>
        <w:numPr>
          <w:ilvl w:val="0"/>
          <w:numId w:val="3"/>
        </w:numPr>
        <w:suppressAutoHyphens/>
        <w:spacing w:after="240" w:line="100" w:lineRule="atLeast"/>
        <w:ind w:left="567" w:hanging="425"/>
        <w:rPr>
          <w:rFonts w:ascii="Times New Roman" w:hAnsi="Times New Roman" w:eastAsia="Calibri" w:cs="Times New Roman"/>
          <w:color w:val="000000"/>
          <w:kern w:val="0"/>
          <w:u w:val="single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:u w:val="single"/>
          <w14:ligatures w14:val="none"/>
        </w:rPr>
        <w:t xml:space="preserve">Sprawozdawczość: </w:t>
      </w:r>
    </w:p>
    <w:p w:rsidRPr="003F3041" w:rsidR="003F3041" w:rsidP="003F3041" w:rsidRDefault="003F3041" w14:paraId="3B1AA28B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color w:val="1F497D"/>
          <w:kern w:val="0"/>
          <w14:ligatures w14:val="none"/>
        </w:rPr>
      </w:pPr>
      <w:bookmarkStart w:name="_Hlk116664147" w:id="1"/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Uczestnicy </w:t>
      </w:r>
      <w:r w:rsidRPr="003F3041">
        <w:rPr>
          <w:rFonts w:ascii="Times New Roman" w:hAnsi="Times New Roman" w:eastAsia="Calibri" w:cs="Arial"/>
          <w:kern w:val="0"/>
          <w:szCs w:val="22"/>
          <w14:ligatures w14:val="none"/>
        </w:rPr>
        <w:t xml:space="preserve">muszą wypełnić standardowy kwestionariusz online udostępniony przez Komisję Europejską (sprawozdanie uczestnika), aby zdać relację z faktów i ocenić działanie w zakresie mobilności, przygotowania do niego i działania następcze. </w:t>
      </w:r>
    </w:p>
    <w:bookmarkEnd w:id="1"/>
    <w:p w:rsidRPr="003F3041" w:rsidR="003F3041" w:rsidP="003F3041" w:rsidRDefault="003F3041" w14:paraId="07DA9201" w14:textId="77777777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hAnsi="Times New Roman Bold" w:eastAsia="Calibri" w:cs="Times New Roman"/>
          <w:b/>
          <w:bCs/>
          <w:kern w:val="0"/>
          <w:szCs w:val="26"/>
          <w14:ligatures w14:val="none"/>
        </w:rPr>
      </w:pPr>
      <w:r w:rsidRPr="003F304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1.3 Wsparcie organizacyjne</w:t>
      </w:r>
    </w:p>
    <w:p w:rsidRPr="003F3041" w:rsidR="003F3041" w:rsidP="003F3041" w:rsidRDefault="003F3041" w14:paraId="671FEC3B" w14:textId="77777777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całkowitego wkładu jednostkowego</w:t>
      </w:r>
    </w:p>
    <w:p w:rsidRPr="003F3041" w:rsidR="003F3041" w:rsidP="003F3041" w:rsidRDefault="003F3041" w14:paraId="4EB6724B" w14:textId="77777777">
      <w:pPr>
        <w:tabs>
          <w:tab w:val="left" w:pos="993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Całkowity wkład jednostkowy oblicza się, mnożąc łączną liczbę uczestników w działaniach w zakresie mobilności przez mający zastosowanie wkład jednostkowy, jak określono w załączniku 3 do umowy. Osoby towarzyszące i liderzy grupy, osoby prowadzące szkolenia, osoby wspomagające proces kształcenia oraz osoby biorące udział w wizytach przygotowawczych nie są uznawane za uczestników działań w zakresie mobilności i nie są zatem brane pod uwagę przy obliczaniu wsparcia organizacyjnego.</w:t>
      </w:r>
    </w:p>
    <w:p w:rsidRPr="003F3041" w:rsidR="003F3041" w:rsidP="003F3041" w:rsidRDefault="003F3041" w14:paraId="484B7F70" w14:textId="77777777">
      <w:pPr>
        <w:numPr>
          <w:ilvl w:val="0"/>
          <w:numId w:val="4"/>
        </w:num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Zdarzenie inicjujące:</w:t>
      </w: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3F3041" w:rsidR="003F3041" w:rsidP="003F3041" w:rsidRDefault="003F3041" w14:paraId="1364BD83" w14:textId="77777777">
      <w:pPr>
        <w:tabs>
          <w:tab w:val="left" w:pos="567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:szCs w:val="22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Wsparcie organizacyjne jest kwalifikowalne (uprawnione) tylko wtedy, gdy uczestnik faktycznie podjął działanie.     </w:t>
      </w:r>
    </w:p>
    <w:p w:rsidRPr="003F3041" w:rsidR="003F3041" w:rsidP="003F3041" w:rsidRDefault="003F3041" w14:paraId="1AC70B8E" w14:textId="77777777">
      <w:pPr>
        <w:tabs>
          <w:tab w:val="left" w:pos="284"/>
        </w:tabs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ab/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c) </w:t>
      </w:r>
      <w:r w:rsidRPr="003F304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 xml:space="preserve">Dokumenty potwierdzające: </w:t>
      </w:r>
    </w:p>
    <w:p w:rsidRPr="003F3041" w:rsidR="003F3041" w:rsidP="003F3041" w:rsidRDefault="003F3041" w14:paraId="61130C91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Dokumentem potwierdzającym jest oświadczenie podpisane przez uczestnika i organizację przyjmującą, w którym wyszczególniono imię i nazwisko uczestnika, cel działania, a także daty jego rozpoczęcia i zakończenia.</w:t>
      </w:r>
    </w:p>
    <w:p w:rsidRPr="003F3041" w:rsidR="003F3041" w:rsidP="003F3041" w:rsidRDefault="003F3041" w14:paraId="32D6098B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b/>
          <w:bCs/>
          <w:kern w:val="0"/>
          <w:szCs w:val="22"/>
          <w14:ligatures w14:val="none"/>
        </w:rPr>
      </w:pPr>
      <w:r w:rsidRPr="003F3041">
        <w:rPr>
          <w:rFonts w:ascii="Times New Roman" w:hAnsi="Times New Roman" w:eastAsia="Calibri" w:cs="Times New Roman"/>
          <w:b/>
          <w:bCs/>
          <w:kern w:val="0"/>
          <w:szCs w:val="22"/>
          <w14:ligatures w14:val="none"/>
        </w:rPr>
        <w:t>1.4-1.6</w:t>
      </w:r>
    </w:p>
    <w:p w:rsidRPr="003F3041" w:rsidR="003F3041" w:rsidP="003F3041" w:rsidRDefault="003F3041" w14:paraId="5838DE6E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b/>
          <w:bCs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b/>
          <w:bCs/>
          <w:kern w:val="0"/>
          <w:szCs w:val="22"/>
          <w14:ligatures w14:val="none"/>
        </w:rPr>
        <w:t>Nie dotyczy.</w:t>
      </w:r>
    </w:p>
    <w:p w:rsidRPr="003F3041" w:rsidR="003F3041" w:rsidP="003F3041" w:rsidRDefault="003F3041" w14:paraId="18BA0000" w14:textId="77777777">
      <w:pPr>
        <w:keepNext/>
        <w:keepLines/>
        <w:spacing w:before="240" w:after="200" w:line="240" w:lineRule="auto"/>
        <w:jc w:val="both"/>
        <w:outlineLvl w:val="1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1.7 Wsparcie włączenia dla organizacji</w:t>
      </w:r>
    </w:p>
    <w:p w:rsidRPr="003F3041" w:rsidR="003F3041" w:rsidP="003F3041" w:rsidRDefault="003F3041" w14:paraId="329EB1E7" w14:textId="77777777">
      <w:pPr>
        <w:numPr>
          <w:ilvl w:val="0"/>
          <w:numId w:val="5"/>
        </w:numPr>
        <w:suppressAutoHyphens/>
        <w:spacing w:after="0" w:line="276" w:lineRule="auto"/>
        <w:ind w:left="851" w:hanging="425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 xml:space="preserve">Obliczanie całkowitego wkładu jednostkowego: </w:t>
      </w:r>
    </w:p>
    <w:p w:rsidRPr="003F3041" w:rsidR="003F3041" w:rsidP="003F3041" w:rsidRDefault="003F3041" w14:paraId="0D1BC3B6" w14:textId="77777777">
      <w:pPr>
        <w:suppressAutoHyphens/>
        <w:spacing w:after="0" w:line="276" w:lineRule="auto"/>
        <w:rPr>
          <w:rFonts w:ascii="Calibri" w:hAnsi="Calibri" w:eastAsia="SimSun" w:cs="Times New Roman"/>
          <w:kern w:val="0"/>
          <w:sz w:val="22"/>
          <w:lang w:eastAsia="ar-SA"/>
          <w14:ligatures w14:val="none"/>
        </w:rPr>
      </w:pPr>
    </w:p>
    <w:p w:rsidRPr="003F3041" w:rsidR="003F3041" w:rsidP="003F3041" w:rsidRDefault="003F3041" w14:paraId="7D2FD9F5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Całkowity wkład jednostkowy oblicza się, mnożąc łączną liczbę uczestników o mniejszych szansach działań w zakresie mobilności przez mający zastosowanie wkład jednostkowy, jak określono w załączniku 3 do umowy.</w:t>
      </w:r>
    </w:p>
    <w:p w:rsidRPr="003F3041" w:rsidR="003F3041" w:rsidP="003F3041" w:rsidRDefault="003F3041" w14:paraId="2FC978BA" w14:textId="77777777">
      <w:pPr>
        <w:suppressAutoHyphens/>
        <w:spacing w:after="0" w:line="276" w:lineRule="auto"/>
        <w:rPr>
          <w:rFonts w:ascii="Times New Roman" w:hAnsi="Times New Roman" w:eastAsia="Calibri" w:cs="Times New Roman"/>
          <w:kern w:val="0"/>
          <w:lang w:eastAsia="ar-SA"/>
          <w14:ligatures w14:val="none"/>
        </w:rPr>
      </w:pPr>
    </w:p>
    <w:p w:rsidRPr="003F3041" w:rsidR="003F3041" w:rsidP="003F3041" w:rsidRDefault="003F3041" w14:paraId="5F2940A0" w14:textId="77777777">
      <w:pPr>
        <w:numPr>
          <w:ilvl w:val="0"/>
          <w:numId w:val="5"/>
        </w:numPr>
        <w:suppressAutoHyphens/>
        <w:spacing w:after="200" w:line="276" w:lineRule="auto"/>
        <w:ind w:left="709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 xml:space="preserve">Zdarzenie inicjujące: </w:t>
      </w:r>
    </w:p>
    <w:p w:rsidRPr="003F3041" w:rsidR="003F3041" w:rsidP="003F3041" w:rsidRDefault="003F3041" w14:paraId="4CA117C9" w14:textId="77777777">
      <w:pPr>
        <w:tabs>
          <w:tab w:val="left" w:pos="567"/>
        </w:tabs>
        <w:suppressAutoHyphens/>
        <w:spacing w:after="24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Wsparcie włączenia dla organizacji wypłaca się tylko wtedy, gdy dany uczestnik faktycznie podjął działanie a organizacja uczestnicząca zorganizowała działania w zakresie mobilności tego uczestnika.</w:t>
      </w:r>
    </w:p>
    <w:p w:rsidRPr="003F3041" w:rsidR="003F3041" w:rsidP="003F3041" w:rsidRDefault="003F3041" w14:paraId="5B1A55CE" w14:textId="77777777">
      <w:pPr>
        <w:numPr>
          <w:ilvl w:val="0"/>
          <w:numId w:val="5"/>
        </w:numPr>
        <w:suppressAutoHyphens/>
        <w:spacing w:after="120" w:line="276" w:lineRule="auto"/>
        <w:ind w:left="709" w:hanging="425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Dokumenty potwierdzające:</w:t>
      </w:r>
    </w:p>
    <w:p w:rsidRPr="003F3041" w:rsidR="003F3041" w:rsidP="003F3041" w:rsidRDefault="003F3041" w14:paraId="1C5AAD3C" w14:textId="77777777">
      <w:pPr>
        <w:suppressAutoHyphens/>
        <w:spacing w:after="12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Dokumentem potwierdzającym jest oświadczenie podpisane przez organizację przyjmującą, w którym wyszczególniono imię i nazwisko uczestnika oraz cel działania, a także daty jego rozpoczęcia i zakończenia.</w:t>
      </w:r>
    </w:p>
    <w:p w:rsidRPr="003F3041" w:rsidR="003F3041" w:rsidP="003F3041" w:rsidRDefault="003F3041" w14:paraId="5DB491C4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Ponadto: dokumentacja określona przez agencję narodową jako dopuszczalny dowód na to, że uczestnik należy do jednej z kategorii osób o mniejszych szansach wymienionych w „Przewodniku po programie”.</w:t>
      </w:r>
    </w:p>
    <w:p w:rsidRPr="003F3041" w:rsidR="003F3041" w:rsidP="003F3041" w:rsidRDefault="003F3041" w14:paraId="7348E42B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14:ligatures w14:val="none"/>
        </w:rPr>
      </w:pPr>
      <w:r w:rsidRPr="003F3041">
        <w:rPr>
          <w:rFonts w:ascii="Times New Roman" w:hAnsi="Times New Roman" w:eastAsia="Calibri" w:cs="Times New Roman"/>
          <w:b/>
          <w:bCs/>
          <w:color w:val="000000"/>
          <w:kern w:val="0"/>
          <w:szCs w:val="22"/>
          <w14:ligatures w14:val="none"/>
        </w:rPr>
        <w:t>1.8-1.9</w:t>
      </w:r>
    </w:p>
    <w:p w:rsidRPr="003F3041" w:rsidR="003F3041" w:rsidP="003F3041" w:rsidRDefault="003F3041" w14:paraId="4E6628E7" w14:textId="77777777">
      <w:pPr>
        <w:suppressAutoHyphens/>
        <w:spacing w:after="240" w:line="276" w:lineRule="auto"/>
        <w:jc w:val="both"/>
        <w:rPr>
          <w:rFonts w:ascii="Times New Roman" w:hAnsi="Times New Roman" w:eastAsia="Calibri" w:cs="Times New Roman"/>
          <w:kern w:val="0"/>
          <w:shd w:val="clear" w:color="auto" w:fill="00FFFF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:szCs w:val="22"/>
          <w14:ligatures w14:val="none"/>
        </w:rPr>
        <w:t>Nie dotyczy.</w:t>
      </w:r>
    </w:p>
    <w:p w:rsidRPr="003F3041" w:rsidR="003F3041" w:rsidP="003F3041" w:rsidRDefault="003F3041" w14:paraId="403BF352" w14:textId="77777777">
      <w:pPr>
        <w:keepNext/>
        <w:keepLines/>
        <w:spacing w:before="240" w:after="200" w:line="240" w:lineRule="auto"/>
        <w:jc w:val="both"/>
        <w:outlineLvl w:val="1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1.10 Wizyty przygotowawcze</w:t>
      </w:r>
    </w:p>
    <w:p w:rsidRPr="003F3041" w:rsidR="003F3041" w:rsidP="003F3041" w:rsidRDefault="003F3041" w14:paraId="56F25C9E" w14:textId="77777777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całkowitego wkładu jednostkowego:</w:t>
      </w:r>
    </w:p>
    <w:p w:rsidRPr="003F3041" w:rsidR="003F3041" w:rsidP="003F3041" w:rsidRDefault="003F3041" w14:paraId="2AD7EC58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Całkowity wkład jednostkowy oblicza się, mnożąc łączną liczbę osób uczestniczących w wizytach przygotowawczych przez mający zastosowanie wkład jednostkowy, jak określono w załączniku 3 do umowy. </w:t>
      </w:r>
    </w:p>
    <w:p w:rsidRPr="003F3041" w:rsidR="003F3041" w:rsidP="003F3041" w:rsidRDefault="003F3041" w14:paraId="3892C8BB" w14:textId="77777777">
      <w:pPr>
        <w:suppressAutoHyphens/>
        <w:spacing w:after="0" w:line="276" w:lineRule="auto"/>
        <w:rPr>
          <w:rFonts w:ascii="Times New Roman" w:hAnsi="Times New Roman" w:eastAsia="Calibri" w:cs="Times New Roman"/>
          <w:kern w:val="0"/>
          <w:lang w:eastAsia="ar-SA"/>
          <w14:ligatures w14:val="none"/>
        </w:rPr>
      </w:pPr>
    </w:p>
    <w:p w:rsidRPr="003F3041" w:rsidR="003F3041" w:rsidP="003F3041" w:rsidRDefault="003F3041" w14:paraId="722B82D3" w14:textId="77777777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:shd w:val="clear" w:color="auto" w:fill="00FFFF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Zdarzenie inicjujące:</w:t>
      </w: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3F3041" w:rsidR="003F3041" w:rsidP="003F3041" w:rsidRDefault="003F3041" w14:paraId="0A46D124" w14:textId="77777777">
      <w:pPr>
        <w:suppressAutoHyphens/>
        <w:spacing w:line="276" w:lineRule="auto"/>
        <w:jc w:val="both"/>
        <w:rPr>
          <w:rFonts w:ascii="Times New Roman" w:hAnsi="Times New Roman" w:eastAsia="SimSun" w:cs="Times New Roman"/>
          <w:kern w:val="0"/>
          <w:shd w:val="clear" w:color="auto" w:fill="00FFFF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Wkład jednostkowy na wizytę przygotowawczą jest kwalifikowalny (uprawniony), gdy dany uczestnik faktycznie wziął udział w wizycie przygotowawczej.</w:t>
      </w:r>
    </w:p>
    <w:p w:rsidRPr="003F3041" w:rsidR="003F3041" w:rsidP="003F3041" w:rsidRDefault="003F3041" w14:paraId="59D2088D" w14:textId="77777777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Dokumenty potwierdzające: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 </w:t>
      </w:r>
    </w:p>
    <w:p w:rsidRPr="003F3041" w:rsidR="003F3041" w:rsidP="003F3041" w:rsidRDefault="003F3041" w14:paraId="699EE515" w14:textId="77777777">
      <w:pPr>
        <w:suppressAutoHyphens/>
        <w:spacing w:after="0" w:line="276" w:lineRule="auto"/>
        <w:jc w:val="both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color w:val="000000"/>
          <w:kern w:val="0"/>
          <w14:ligatures w14:val="none"/>
        </w:rPr>
        <w:t xml:space="preserve">Dokumentem potwierdzającym jest wypełniony program spotkania, zawierający imiona i nazwiska osób przyjeżdżających, podpisany przez osoby przyjeżdżające i organizację przyjmującą. </w:t>
      </w:r>
    </w:p>
    <w:p w:rsidRPr="003F3041" w:rsidR="003F3041" w:rsidP="003F3041" w:rsidRDefault="003F3041" w14:paraId="0FC74AFF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</w:p>
    <w:p w:rsidRPr="003F3041" w:rsidR="003F3041" w:rsidP="003F3041" w:rsidRDefault="003F3041" w14:paraId="6B94CF7B" w14:textId="77777777">
      <w:pPr>
        <w:keepNext/>
        <w:keepLines/>
        <w:numPr>
          <w:ilvl w:val="0"/>
          <w:numId w:val="9"/>
        </w:numPr>
        <w:spacing w:before="200" w:after="200" w:line="240" w:lineRule="auto"/>
        <w:jc w:val="both"/>
        <w:outlineLvl w:val="0"/>
        <w:rPr>
          <w:rFonts w:ascii="Times New Roman Bold" w:hAnsi="Times New Roman Bold" w:eastAsia="Calibri" w:cs="Times New Roman"/>
          <w:b/>
          <w:bCs/>
          <w:smallCaps/>
          <w:kern w:val="0"/>
          <w:szCs w:val="28"/>
          <w:u w:val="single"/>
          <w14:ligatures w14:val="none"/>
        </w:rPr>
      </w:pPr>
      <w:r w:rsidRPr="003F3041">
        <w:rPr>
          <w:rFonts w:ascii="Times New Roman Bold" w:hAnsi="Times New Roman Bold" w:eastAsia="Times New Roman" w:cs="Times New Roman"/>
          <w:b/>
          <w:bCs/>
          <w:smallCaps/>
          <w:kern w:val="0"/>
          <w:szCs w:val="28"/>
          <w:u w:val="single"/>
          <w14:ligatures w14:val="none"/>
        </w:rPr>
        <w:t>Koszty rzeczywiste</w:t>
      </w:r>
    </w:p>
    <w:p w:rsidRPr="003F3041" w:rsidR="003F3041" w:rsidP="003F3041" w:rsidRDefault="003F3041" w14:paraId="46E8A063" w14:textId="77777777">
      <w:pPr>
        <w:keepNext/>
        <w:keepLines/>
        <w:spacing w:before="240" w:after="200" w:line="240" w:lineRule="auto"/>
        <w:ind w:left="1622" w:hanging="1622"/>
        <w:jc w:val="both"/>
        <w:outlineLvl w:val="1"/>
        <w:rPr>
          <w:rFonts w:ascii="Times New Roman Bold" w:hAnsi="Times New Roman Bold" w:eastAsia="Calibri" w:cs="Times New Roman"/>
          <w:b/>
          <w:bCs/>
          <w:kern w:val="0"/>
          <w:u w:val="single"/>
          <w14:ligatures w14:val="none"/>
        </w:rPr>
      </w:pPr>
      <w:r w:rsidRPr="003F304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2.1 Wsparcie włączenia dla uczestników</w:t>
      </w:r>
    </w:p>
    <w:p w:rsidRPr="003F3041" w:rsidR="003F3041" w:rsidP="003F3041" w:rsidRDefault="003F3041" w14:paraId="655DD5CC" w14:textId="77777777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kwoty dotacji:</w:t>
      </w:r>
    </w:p>
    <w:p w:rsidRPr="003F3041" w:rsidR="003F3041" w:rsidP="003F3041" w:rsidRDefault="003F3041" w14:paraId="5BDFD929" w14:textId="77777777">
      <w:p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Dotacja stanowi zwrot 100 % faktycznie poniesionych kosztów kwalifikowalnych.</w:t>
      </w:r>
    </w:p>
    <w:p w:rsidRPr="003F3041" w:rsidR="003F3041" w:rsidP="003F3041" w:rsidRDefault="003F3041" w14:paraId="359AE2DF" w14:textId="77777777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b) Koszty kwalifikowalne</w:t>
      </w: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: </w:t>
      </w:r>
    </w:p>
    <w:p w:rsidRPr="003F3041" w:rsidR="003F3041" w:rsidP="003F3041" w:rsidRDefault="003F3041" w14:paraId="11FE4AD9" w14:textId="77777777">
      <w:pPr>
        <w:tabs>
          <w:tab w:val="left" w:pos="0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koszty bezpośrednio związane z uczestnikami o mniejszych szansach i osobami im towarzyszącymi. Jeżeli dana osoba występuje o zwrot kosztów podróży i wsparcia indywidualnego w ramach tej kategorii budżetu, nie można wnioskować o wkład jednostkowy w odniesieniu do tych kategorii dla tej samej osoby.</w:t>
      </w:r>
    </w:p>
    <w:p w:rsidRPr="003F3041" w:rsidR="003F3041" w:rsidP="003F3041" w:rsidRDefault="003F3041" w14:paraId="638A2565" w14:textId="77777777">
      <w:pPr>
        <w:tabs>
          <w:tab w:val="left" w:pos="709"/>
        </w:tabs>
        <w:suppressAutoHyphens/>
        <w:spacing w:after="200" w:line="276" w:lineRule="auto"/>
        <w:ind w:firstLine="426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c) Dokumenty potwierdzające:</w:t>
      </w: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3F3041" w:rsidR="003F3041" w:rsidP="003F3041" w:rsidRDefault="003F3041" w14:paraId="45C9873B" w14:textId="77777777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:szCs w:val="22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faktury stanowiące dowód pokrycia powiązanych kosztów, w których to fakturach wyszczególniono nazwę i adres podmiotu wystawiającego fakturę, kwotę i walutę, datę wystawienia faktury, oraz, w stosownych przypadkach, dokumentacja podpisana przez organizację przyjmującą określająca potwierdzoną datę rozpoczęcia i zakończenia pobytu osoby towarzyszącej.  </w:t>
      </w:r>
    </w:p>
    <w:p w:rsidRPr="003F3041" w:rsidR="003F3041" w:rsidP="003F3041" w:rsidRDefault="003F3041" w14:paraId="5F55BFB8" w14:textId="77777777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:rsidRPr="003F3041" w:rsidR="003F3041" w:rsidP="003F3041" w:rsidRDefault="003F3041" w14:paraId="77A8D526" w14:textId="77777777">
      <w:pPr>
        <w:numPr>
          <w:ilvl w:val="0"/>
          <w:numId w:val="6"/>
        </w:numPr>
        <w:tabs>
          <w:tab w:val="left" w:pos="709"/>
        </w:tabs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Sprawozdawczość:</w:t>
      </w: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 </w:t>
      </w:r>
    </w:p>
    <w:p w:rsidRPr="003F3041" w:rsidR="003F3041" w:rsidP="003F3041" w:rsidRDefault="003F3041" w14:paraId="230614CF" w14:textId="77777777">
      <w:pPr>
        <w:tabs>
          <w:tab w:val="left" w:pos="709"/>
        </w:tabs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W odniesieniu do każdej pozycji kosztów w tej kategorii budżetowej beneficjent musi podać rodzaj kosztów i rzeczywistą kwotę poniesionych kosztów. </w:t>
      </w:r>
    </w:p>
    <w:p w:rsidRPr="003F3041" w:rsidR="003F3041" w:rsidP="003F3041" w:rsidRDefault="003F3041" w14:paraId="3B59025F" w14:textId="77777777">
      <w:pPr>
        <w:keepNext/>
        <w:keepLines/>
        <w:numPr>
          <w:ilvl w:val="1"/>
          <w:numId w:val="9"/>
        </w:numPr>
        <w:spacing w:before="240" w:after="200" w:line="240" w:lineRule="auto"/>
        <w:ind w:left="426" w:hanging="284"/>
        <w:jc w:val="both"/>
        <w:outlineLvl w:val="1"/>
        <w:rPr>
          <w:rFonts w:ascii="Times New Roman Bold" w:hAnsi="Times New Roman Bold" w:eastAsia="Calibri" w:cs="Times New Roman"/>
          <w:b/>
          <w:bCs/>
          <w:kern w:val="0"/>
          <w:szCs w:val="26"/>
          <w14:ligatures w14:val="none"/>
        </w:rPr>
      </w:pPr>
      <w:r w:rsidRPr="003F3041">
        <w:rPr>
          <w:rFonts w:ascii="Times New Roman Bold" w:hAnsi="Times New Roman Bold" w:eastAsia="Times New Roman" w:cs="Times New Roman"/>
          <w:b/>
          <w:bCs/>
          <w:kern w:val="0"/>
          <w:szCs w:val="26"/>
          <w14:ligatures w14:val="none"/>
        </w:rPr>
        <w:t>Koszty nadzwyczajne</w:t>
      </w:r>
    </w:p>
    <w:p w:rsidRPr="003F3041" w:rsidR="003F3041" w:rsidP="003F3041" w:rsidRDefault="003F3041" w14:paraId="60BCC0B0" w14:textId="77777777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:u w:val="single"/>
          <w14:ligatures w14:val="none"/>
        </w:rPr>
        <w:t>Obliczanie kwoty dotacji:</w:t>
      </w:r>
    </w:p>
    <w:p w:rsidRPr="003F3041" w:rsidR="003F3041" w:rsidP="003F3041" w:rsidRDefault="003F3041" w14:paraId="44391965" w14:textId="77777777">
      <w:pPr>
        <w:suppressAutoHyphens/>
        <w:spacing w:line="276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Dotacja stanowi zwrot faktycznie poniesionych następujących kosztów kwalifikowalnych, o ile nie wskazano inaczej poniżej. </w:t>
      </w:r>
    </w:p>
    <w:p w:rsidRPr="003F3041" w:rsidR="003F3041" w:rsidP="003F3041" w:rsidRDefault="003F3041" w14:paraId="5D902263" w14:textId="77777777">
      <w:pPr>
        <w:numPr>
          <w:ilvl w:val="0"/>
          <w:numId w:val="1"/>
        </w:numPr>
        <w:suppressAutoHyphens/>
        <w:spacing w:after="200" w:line="276" w:lineRule="auto"/>
        <w:jc w:val="both"/>
        <w:rPr>
          <w:rFonts w:ascii="Times New Roman" w:hAnsi="Times New Roman" w:eastAsia="Calibri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 xml:space="preserve">Koszty kwalifikowalne: </w:t>
      </w:r>
    </w:p>
    <w:p w:rsidRPr="003F3041" w:rsidR="003F3041" w:rsidP="003F3041" w:rsidRDefault="003F3041" w14:paraId="7D8422FA" w14:textId="77777777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eastAsia="SimSun" w:cs="Times New Roman"/>
          <w:kern w:val="0"/>
          <w:szCs w:val="22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Gwarancja finansowa: 80% kosztów gwarancji dotyczącej płatności zaliczkowych wniesionej przez beneficjenta, w przypadku gdy takiej gwarancji wymaga agencja narodowa, jak określono w arkuszu danych (zob. pkt 4).  </w:t>
      </w:r>
    </w:p>
    <w:p w:rsidRPr="003F3041" w:rsidR="003F3041" w:rsidP="003F3041" w:rsidRDefault="003F3041" w14:paraId="513ECA0E" w14:textId="77777777">
      <w:pPr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eastAsia="SimSun" w:cs="Times New Roman"/>
          <w:kern w:val="0"/>
          <w:szCs w:val="22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 xml:space="preserve">Wysokie koszty podróży: 80% kosztów podróży w najkorzystniejszy ekonomicznie a zarazem efektywny sposób, jeżeli mający zastosowanie wkład jednostkowy nie pokryłby co najmniej 70 % kosztów podróży. Koszty nadzwyczajne związane z wysokimi kosztami podróży zastępują dofinansowanie kosztów podróży. </w:t>
      </w:r>
    </w:p>
    <w:p w:rsidRPr="003F3041" w:rsidR="003F3041" w:rsidP="003F3041" w:rsidRDefault="003F3041" w14:paraId="70DA5107" w14:textId="77777777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Times New Roman" w:cs="Times New Roman"/>
          <w:kern w:val="0"/>
          <w:szCs w:val="22"/>
          <w14:ligatures w14:val="none"/>
        </w:rPr>
        <w:t>Koszty wiz i koszty związane z otrzymaniem wiz, koszty zezwoleń na pobyt, szczepień i zaświadczeń lekarskich: 100% poniesionych kosztów.</w:t>
      </w:r>
    </w:p>
    <w:p w:rsidR="004C29E0" w:rsidRDefault="004C29E0" w14:paraId="65C75B83" w14:textId="77777777"/>
    <w:p w:rsidRPr="003F3041" w:rsidR="003F3041" w:rsidP="003F3041" w:rsidRDefault="003F3041" w14:paraId="1E6B57BB" w14:textId="77777777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:u w:val="single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:u w:val="single"/>
          <w14:ligatures w14:val="none"/>
        </w:rPr>
        <w:t>Dokumenty potwierdzające:</w:t>
      </w:r>
    </w:p>
    <w:p w:rsidRPr="003F3041" w:rsidR="003F3041" w:rsidP="003F3041" w:rsidRDefault="003F3041" w14:paraId="17116259" w14:textId="77777777">
      <w:pPr>
        <w:suppressAutoHyphens/>
        <w:spacing w:after="0" w:line="276" w:lineRule="auto"/>
        <w:ind w:left="360"/>
        <w:jc w:val="both"/>
        <w:rPr>
          <w:rFonts w:ascii="Times New Roman" w:hAnsi="Times New Roman" w:eastAsia="SimSun" w:cs="Times New Roman"/>
          <w:kern w:val="0"/>
          <w:lang w:eastAsia="ar-SA"/>
          <w14:ligatures w14:val="none"/>
        </w:rPr>
      </w:pPr>
    </w:p>
    <w:p w:rsidRPr="003F3041" w:rsidR="003F3041" w:rsidP="003F3041" w:rsidRDefault="003F3041" w14:paraId="10F6B9C4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 xml:space="preserve">W przypadku gwarancji dotyczącej płatności zaliczkowych: dowód poniesienia kosztów związanych z gwarancją finansową, w którym wyszczególniono nazwę i adres podmiotu udzielającego gwarancji, kwotę i walutę gwarancji oraz datę jej udzielenia oraz który opatrzono datą i podpisem przedstawiciela prawnego podmiotu udzielającego gwarancji. </w:t>
      </w:r>
    </w:p>
    <w:p w:rsidRPr="003F3041" w:rsidR="003F3041" w:rsidP="003F3041" w:rsidRDefault="003F3041" w14:paraId="644147FA" w14:textId="77777777">
      <w:pPr>
        <w:suppressAutoHyphens/>
        <w:spacing w:after="0" w:line="276" w:lineRule="auto"/>
        <w:ind w:left="1134"/>
        <w:jc w:val="both"/>
        <w:rPr>
          <w:rFonts w:ascii="Times New Roman" w:hAnsi="Times New Roman" w:eastAsia="SimSun" w:cs="Times New Roman"/>
          <w:kern w:val="0"/>
          <w:lang w:eastAsia="ar-SA"/>
          <w14:ligatures w14:val="none"/>
        </w:rPr>
      </w:pPr>
    </w:p>
    <w:p w:rsidRPr="003F3041" w:rsidR="003F3041" w:rsidP="003F3041" w:rsidRDefault="003F3041" w14:paraId="37732F5E" w14:textId="77777777">
      <w:pPr>
        <w:suppressAutoHyphens/>
        <w:spacing w:after="20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W przypadku wysokich kosztów podróży: dowód opłacenia oraz faktury stanowiące dowód opłacenia powiązanych kosztów, w których to fakturach wyszczególniono nazwę i adres podmiotu wystawiającego fakturę, kwotę i walutę oraz datę wystawienia faktury i trasę podróży.</w:t>
      </w:r>
    </w:p>
    <w:p w:rsidRPr="003F3041" w:rsidR="003F3041" w:rsidP="003F3041" w:rsidRDefault="003F3041" w14:paraId="58ECF20D" w14:textId="77777777">
      <w:pPr>
        <w:suppressAutoHyphens/>
        <w:spacing w:after="0" w:line="276" w:lineRule="auto"/>
        <w:jc w:val="both"/>
        <w:rPr>
          <w:rFonts w:ascii="Times New Roman" w:hAnsi="Times New Roman" w:eastAsia="SimSun" w:cs="Times New Roman"/>
          <w:kern w:val="0"/>
          <w14:ligatures w14:val="none"/>
        </w:rPr>
      </w:pPr>
      <w:r w:rsidRPr="003F3041">
        <w:rPr>
          <w:rFonts w:ascii="Times New Roman" w:hAnsi="Times New Roman" w:eastAsia="Calibri" w:cs="Times New Roman"/>
          <w:kern w:val="0"/>
          <w:szCs w:val="22"/>
          <w14:ligatures w14:val="none"/>
        </w:rPr>
        <w:t>W przypadku kosztów wiz i kosztów związanych z otrzymaniem wiz, kosztów zezwoleń na pobyt, szczepień i zaświadczeń lekarskich: faktury stanowiące dowód opłacenia poszczególnych kosztów, w których to fakturach wyszczególniono nazwę i adres podmiotu wystawiającego fakturę, kwotę i walutę oraz datę wystawienia faktury.</w:t>
      </w:r>
    </w:p>
    <w:p w:rsidRPr="003F3041" w:rsidR="003F3041" w:rsidP="003F3041" w:rsidRDefault="003F3041" w14:paraId="150ED2D0" w14:textId="77777777">
      <w:pPr>
        <w:spacing w:line="259" w:lineRule="auto"/>
        <w:rPr>
          <w:rFonts w:ascii="Aptos" w:hAnsi="Aptos" w:eastAsia="Aptos" w:cs="Times New Roman"/>
          <w:sz w:val="22"/>
          <w:szCs w:val="22"/>
          <w14:ligatures w14:val="none"/>
        </w:rPr>
      </w:pPr>
    </w:p>
    <w:p w:rsidR="003F3041" w:rsidRDefault="003F3041" w14:paraId="6BC923B2" w14:textId="77777777"/>
    <w:sectPr w:rsidR="003F3041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7D63" w:rsidP="002B72D4" w:rsidRDefault="00787D63" w14:paraId="132B589A" w14:textId="77777777">
      <w:pPr>
        <w:spacing w:after="0" w:line="240" w:lineRule="auto"/>
      </w:pPr>
      <w:r>
        <w:separator/>
      </w:r>
    </w:p>
  </w:endnote>
  <w:endnote w:type="continuationSeparator" w:id="0">
    <w:p w:rsidR="00787D63" w:rsidP="002B72D4" w:rsidRDefault="00787D63" w14:paraId="7C4D1C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04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Pr="002B72D4" w:rsidR="002B72D4" w:rsidRDefault="002B72D4" w14:paraId="4A539001" w14:textId="710BE76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B72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72D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72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B72D4">
          <w:rPr>
            <w:rFonts w:ascii="Times New Roman" w:hAnsi="Times New Roman" w:cs="Times New Roman"/>
            <w:sz w:val="20"/>
            <w:szCs w:val="20"/>
          </w:rPr>
          <w:t>2</w:t>
        </w:r>
        <w:r w:rsidRPr="002B72D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72D4" w:rsidRDefault="002B72D4" w14:paraId="0880D0C4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7D63" w:rsidP="002B72D4" w:rsidRDefault="00787D63" w14:paraId="06F7BE10" w14:textId="77777777">
      <w:pPr>
        <w:spacing w:after="0" w:line="240" w:lineRule="auto"/>
      </w:pPr>
      <w:r>
        <w:separator/>
      </w:r>
    </w:p>
  </w:footnote>
  <w:footnote w:type="continuationSeparator" w:id="0">
    <w:p w:rsidR="00787D63" w:rsidP="002B72D4" w:rsidRDefault="00787D63" w14:paraId="4C7389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multilevel"/>
    <w:tmpl w:val="D6E0DFC0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  <w:u w:val="single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A847302"/>
    <w:multiLevelType w:val="hybridMultilevel"/>
    <w:tmpl w:val="38F6A1E4"/>
    <w:lvl w:ilvl="0" w:tplc="3282359C">
      <w:start w:val="1"/>
      <w:numFmt w:val="lowerLetter"/>
      <w:lvlText w:val="%1)"/>
      <w:lvlJc w:val="left"/>
      <w:pPr>
        <w:ind w:left="720" w:hanging="360"/>
      </w:pPr>
      <w:rPr>
        <w:rFonts w:hint="default" w:eastAsia="Aptos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7143F"/>
    <w:multiLevelType w:val="hybridMultilevel"/>
    <w:tmpl w:val="02ACEEC6"/>
    <w:lvl w:ilvl="0" w:tplc="AA98FEF0">
      <w:start w:val="1"/>
      <w:numFmt w:val="lowerLetter"/>
      <w:lvlText w:val="%1)"/>
      <w:lvlJc w:val="left"/>
      <w:pPr>
        <w:ind w:left="502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131BA3"/>
    <w:multiLevelType w:val="hybridMultilevel"/>
    <w:tmpl w:val="392809D2"/>
    <w:lvl w:ilvl="0" w:tplc="56BA93CA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4772"/>
    <w:multiLevelType w:val="hybridMultilevel"/>
    <w:tmpl w:val="BEA68746"/>
    <w:lvl w:ilvl="0" w:tplc="13FC27A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A2174"/>
    <w:multiLevelType w:val="hybridMultilevel"/>
    <w:tmpl w:val="6EA2DDA6"/>
    <w:lvl w:ilvl="0" w:tplc="71542A2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B2B36"/>
    <w:multiLevelType w:val="hybridMultilevel"/>
    <w:tmpl w:val="25940DBC"/>
    <w:lvl w:ilvl="0" w:tplc="CA827B42">
      <w:start w:val="1"/>
      <w:numFmt w:val="lowerLetter"/>
      <w:lvlText w:val="%1)"/>
      <w:lvlJc w:val="left"/>
      <w:pPr>
        <w:ind w:left="1080" w:hanging="360"/>
      </w:pPr>
      <w:rPr>
        <w:rFonts w:hint="default" w:eastAsia="Aptos"/>
      </w:rPr>
    </w:lvl>
    <w:lvl w:ilvl="1" w:tplc="08090019" w:tentative="1">
      <w:start w:val="1"/>
      <w:numFmt w:val="lowerLetter"/>
      <w:lvlText w:val="%2."/>
      <w:lvlJc w:val="left"/>
      <w:pPr>
        <w:ind w:left="-1668" w:hanging="360"/>
      </w:pPr>
    </w:lvl>
    <w:lvl w:ilvl="2" w:tplc="0809001B" w:tentative="1">
      <w:start w:val="1"/>
      <w:numFmt w:val="lowerRoman"/>
      <w:lvlText w:val="%3."/>
      <w:lvlJc w:val="right"/>
      <w:pPr>
        <w:ind w:left="-948" w:hanging="180"/>
      </w:pPr>
    </w:lvl>
    <w:lvl w:ilvl="3" w:tplc="0809000F" w:tentative="1">
      <w:start w:val="1"/>
      <w:numFmt w:val="decimal"/>
      <w:lvlText w:val="%4."/>
      <w:lvlJc w:val="left"/>
      <w:pPr>
        <w:ind w:left="-228" w:hanging="360"/>
      </w:pPr>
    </w:lvl>
    <w:lvl w:ilvl="4" w:tplc="08090019" w:tentative="1">
      <w:start w:val="1"/>
      <w:numFmt w:val="lowerLetter"/>
      <w:lvlText w:val="%5."/>
      <w:lvlJc w:val="left"/>
      <w:pPr>
        <w:ind w:left="492" w:hanging="360"/>
      </w:pPr>
    </w:lvl>
    <w:lvl w:ilvl="5" w:tplc="0809001B" w:tentative="1">
      <w:start w:val="1"/>
      <w:numFmt w:val="lowerRoman"/>
      <w:lvlText w:val="%6."/>
      <w:lvlJc w:val="right"/>
      <w:pPr>
        <w:ind w:left="1212" w:hanging="180"/>
      </w:pPr>
    </w:lvl>
    <w:lvl w:ilvl="6" w:tplc="0809000F" w:tentative="1">
      <w:start w:val="1"/>
      <w:numFmt w:val="decimal"/>
      <w:lvlText w:val="%7."/>
      <w:lvlJc w:val="left"/>
      <w:pPr>
        <w:ind w:left="1932" w:hanging="360"/>
      </w:pPr>
    </w:lvl>
    <w:lvl w:ilvl="7" w:tplc="08090019" w:tentative="1">
      <w:start w:val="1"/>
      <w:numFmt w:val="lowerLetter"/>
      <w:lvlText w:val="%8."/>
      <w:lvlJc w:val="left"/>
      <w:pPr>
        <w:ind w:left="2652" w:hanging="360"/>
      </w:pPr>
    </w:lvl>
    <w:lvl w:ilvl="8" w:tplc="0809001B" w:tentative="1">
      <w:start w:val="1"/>
      <w:numFmt w:val="lowerRoman"/>
      <w:lvlText w:val="%9."/>
      <w:lvlJc w:val="right"/>
      <w:pPr>
        <w:ind w:left="3372" w:hanging="180"/>
      </w:pPr>
    </w:lvl>
  </w:abstractNum>
  <w:abstractNum w:abstractNumId="7" w15:restartNumberingAfterBreak="0">
    <w:nsid w:val="72DB7A3C"/>
    <w:multiLevelType w:val="multilevel"/>
    <w:tmpl w:val="23A24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8444A9"/>
    <w:multiLevelType w:val="hybridMultilevel"/>
    <w:tmpl w:val="F42E4530"/>
    <w:lvl w:ilvl="0" w:tplc="14BE44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61512">
    <w:abstractNumId w:val="0"/>
  </w:num>
  <w:num w:numId="2" w16cid:durableId="498160119">
    <w:abstractNumId w:val="3"/>
  </w:num>
  <w:num w:numId="3" w16cid:durableId="1099104275">
    <w:abstractNumId w:val="2"/>
  </w:num>
  <w:num w:numId="4" w16cid:durableId="1989164882">
    <w:abstractNumId w:val="5"/>
  </w:num>
  <w:num w:numId="5" w16cid:durableId="2106413126">
    <w:abstractNumId w:val="6"/>
  </w:num>
  <w:num w:numId="6" w16cid:durableId="1317883013">
    <w:abstractNumId w:val="4"/>
  </w:num>
  <w:num w:numId="7" w16cid:durableId="1233077946">
    <w:abstractNumId w:val="1"/>
  </w:num>
  <w:num w:numId="8" w16cid:durableId="95711946">
    <w:abstractNumId w:val="8"/>
  </w:num>
  <w:num w:numId="9" w16cid:durableId="187754872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41"/>
    <w:rsid w:val="002B72D4"/>
    <w:rsid w:val="003F3041"/>
    <w:rsid w:val="004C29E0"/>
    <w:rsid w:val="006665E8"/>
    <w:rsid w:val="00787D63"/>
    <w:rsid w:val="00865926"/>
    <w:rsid w:val="00F45345"/>
    <w:rsid w:val="5BFFE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30C7"/>
  <w15:chartTrackingRefBased/>
  <w15:docId w15:val="{67EF0674-E4B6-4B74-B184-BA3542A003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0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0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3F30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3F30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3F30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3F3041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3F3041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3F3041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3F3041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3F3041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3F3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0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3F30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3F3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041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3F3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0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0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3F30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04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04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3F3041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3F3041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72D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B72D4"/>
  </w:style>
  <w:style w:type="paragraph" w:styleId="Stopka">
    <w:name w:val="footer"/>
    <w:basedOn w:val="Normalny"/>
    <w:link w:val="StopkaZnak"/>
    <w:uiPriority w:val="99"/>
    <w:unhideWhenUsed/>
    <w:rsid w:val="002B72D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B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s://ec.europa.eu/programmes/erasmus-plus/resources/distance-calculator_p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Fundacja Rozwoju Systemu Edukacji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Drzewicka</dc:creator>
  <keywords/>
  <dc:description/>
  <lastModifiedBy>Gość</lastModifiedBy>
  <revision>3</revision>
  <dcterms:created xsi:type="dcterms:W3CDTF">2026-06-05T12:09:00.0000000Z</dcterms:created>
  <dcterms:modified xsi:type="dcterms:W3CDTF">2026-06-08T07:34:11.3077429Z</dcterms:modified>
</coreProperties>
</file>