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0168" w14:textId="77777777" w:rsidR="00805574" w:rsidRPr="00805574" w:rsidRDefault="00805574" w:rsidP="00805574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805574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ZAŁĄ CZNIK 2 – OBOWIĄZUJĄCE PRZEPISY związane z kwalifikowalnością kosztów i WKŁADÓW</w:t>
      </w:r>
      <w:r w:rsidRPr="00805574" w:rsidDel="00D61361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 xml:space="preserve"> </w:t>
      </w:r>
    </w:p>
    <w:p w14:paraId="66C9DF33" w14:textId="77777777" w:rsidR="00805574" w:rsidRPr="00805574" w:rsidRDefault="00805574" w:rsidP="00805574">
      <w:pPr>
        <w:keepNext/>
        <w:keepLines/>
        <w:spacing w:before="200" w:after="60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805574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KA 121 i KA122</w:t>
      </w:r>
      <w:r w:rsidRPr="00805574">
        <w:rPr>
          <w:rFonts w:ascii="Times New Roman" w:eastAsia="Times New Roman" w:hAnsi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br/>
        <w:t>(VET)</w:t>
      </w:r>
    </w:p>
    <w:p w14:paraId="6984A15C" w14:textId="77777777" w:rsidR="00805574" w:rsidRPr="00805574" w:rsidRDefault="00805574" w:rsidP="00805574">
      <w:pPr>
        <w:keepNext/>
        <w:keepLines/>
        <w:numPr>
          <w:ilvl w:val="0"/>
          <w:numId w:val="11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805574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 xml:space="preserve">Wkłady jednostkowe </w:t>
      </w:r>
    </w:p>
    <w:p w14:paraId="202F2D9A" w14:textId="77777777" w:rsidR="00805574" w:rsidRPr="00805574" w:rsidRDefault="00805574" w:rsidP="00805574">
      <w:pPr>
        <w:spacing w:after="200" w:line="257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Podróż</w:t>
      </w:r>
    </w:p>
    <w:p w14:paraId="7398F904" w14:textId="77777777" w:rsidR="00805574" w:rsidRPr="00805574" w:rsidRDefault="00805574" w:rsidP="00805574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80557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Miejsce pochodzenia</w:t>
      </w: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: miejsce, w którym znajduje się organizacja wysyłająca</w:t>
      </w:r>
      <w:r w:rsidRPr="008055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4E95F900" w14:textId="77777777" w:rsidR="00805574" w:rsidRPr="00805574" w:rsidRDefault="00805574" w:rsidP="0080557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Zrównoważone środki transportu:</w:t>
      </w: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rower, autobus, car-</w:t>
      </w:r>
      <w:proofErr w:type="spellStart"/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pooling</w:t>
      </w:r>
      <w:proofErr w:type="spellEnd"/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805574">
        <w:rPr>
          <w:rFonts w:ascii="Times New Roman" w:eastAsia="Calibri" w:hAnsi="Times New Roman" w:cs="Times New Roman"/>
          <w:kern w:val="0"/>
          <w14:ligatures w14:val="none"/>
        </w:rPr>
        <w:t xml:space="preserve">(tj. wspólne przejazdy samochodem co najmniej dwóch pasażerów, gdzie kierowca dzieli koszty na paliwo wspólnie z pasażerem/pasażerami) </w:t>
      </w: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i pociąg. Statek będzie uważany za ekologiczny środek transportu tylko w połączeniu z innym niskoemisyjnym środkiem transportu. Agencja narodowa może uznać inne środki transportu za zrównoważone w oparciu o utrwaloną praktykę, indywidualnie dla każdego przypadku. </w:t>
      </w:r>
    </w:p>
    <w:p w14:paraId="6A7E5A3A" w14:textId="77777777" w:rsidR="00805574" w:rsidRPr="00805574" w:rsidRDefault="00805574" w:rsidP="0080557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Wkład jednostkowy na podróż zrównoważonymi środkami transportu (podróż z wykorzystaniem ekologicznych środków transportu) jest kwalifikowalny, jeżeli </w:t>
      </w:r>
      <w:r w:rsidRPr="00805574">
        <w:rPr>
          <w:rFonts w:ascii="Times New Roman" w:eastAsia="Times New Roman" w:hAnsi="Times New Roman" w:cs="Times New Roman"/>
          <w:strike/>
          <w:kern w:val="0"/>
          <w:lang w:eastAsia="zh-CN"/>
          <w14:ligatures w14:val="none"/>
        </w:rPr>
        <w:t>w</w:t>
      </w:r>
      <w:r w:rsidRPr="00805574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co najmniej połowę  podróży w obie strony odbyto zrównoważonymi środkami transportu (pod względem przebytej odległości w kilometrach).</w:t>
      </w:r>
    </w:p>
    <w:p w14:paraId="0C584C20" w14:textId="77777777" w:rsidR="00805574" w:rsidRPr="00805574" w:rsidRDefault="00805574" w:rsidP="0080557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805574">
        <w:rPr>
          <w:rFonts w:ascii="Times New Roman" w:eastAsia="Times New Roman" w:hAnsi="Times New Roman" w:cs="Times New Roman"/>
          <w:b/>
          <w:kern w:val="0"/>
          <w:szCs w:val="20"/>
          <w:lang w:eastAsia="zh-CN"/>
          <w14:ligatures w14:val="none"/>
        </w:rPr>
        <w:t>Wkład jednostkowy w przeliczeniu na przedział odległości</w:t>
      </w:r>
      <w:r w:rsidRPr="0080557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: </w:t>
      </w:r>
      <w:r w:rsidRPr="00805574"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>koszt podróży w obie strony między miejscem wyjazdu a miejscem przyjazdu.</w:t>
      </w:r>
    </w:p>
    <w:p w14:paraId="326D0E10" w14:textId="77777777" w:rsidR="00805574" w:rsidRPr="00805574" w:rsidRDefault="00805574" w:rsidP="00805574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557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Miejsce działania</w:t>
      </w:r>
      <w:r w:rsidRPr="008055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 </w:t>
      </w: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miejsce, w którym znajduje się organizacja przyjmująca</w:t>
      </w:r>
      <w:r w:rsidRPr="008055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1CC15C9F" w14:textId="77777777" w:rsidR="00805574" w:rsidRPr="00805574" w:rsidRDefault="00805574" w:rsidP="00805574">
      <w:pPr>
        <w:spacing w:after="20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zgłoszenia innego miejsca pochodzenia lub miejsca działania beneficjent musi uzasadnić taką zmianę.</w:t>
      </w:r>
    </w:p>
    <w:p w14:paraId="410B0D50" w14:textId="77777777" w:rsidR="00805574" w:rsidRPr="00805574" w:rsidRDefault="00805574" w:rsidP="00805574">
      <w:pPr>
        <w:spacing w:after="200" w:line="259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Czas podróży nie będzie brany pod uwagę przy ustalaniu zgodności z minimalnym kwalifikowalnym czasem trwania działań w zakresie mobilności określonym w „Przewodniku po programie”. </w:t>
      </w:r>
    </w:p>
    <w:p w14:paraId="600A8FD3" w14:textId="77777777" w:rsidR="00805574" w:rsidRPr="00805574" w:rsidRDefault="00805574" w:rsidP="00805574">
      <w:pPr>
        <w:suppressAutoHyphens/>
        <w:spacing w:line="276" w:lineRule="auto"/>
        <w:ind w:left="36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a) Obliczanie całkowitego wkładu jednostkowego</w:t>
      </w: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103C82B9" w14:textId="77777777" w:rsidR="00805574" w:rsidRPr="00805574" w:rsidRDefault="00805574" w:rsidP="00805574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na podróż oblicza się, mnożąc liczbę uczestników i osób towarzyszących w danym przedziale odległości przez wkład jednostkowy, mający zastosowanie do danego przedziału odległości i rodzaju podróży (z wykorzystaniem  lub bez wykorzystania ekologicznych środków transportu), jak określono w załączniku 3 do umowy. </w:t>
      </w:r>
    </w:p>
    <w:p w14:paraId="7C6FAA5A" w14:textId="77777777" w:rsidR="00805574" w:rsidRPr="00805574" w:rsidRDefault="00805574" w:rsidP="0080557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Aby ustalić odpowiedni przedział odległości, beneficjent wskazuje odległość pokonywaną podczas podróży w jedną stronę, obliczoną za pomocą kalkulatora odległości online dostępnego na stronie internetowej Komisji pod adresem: </w:t>
      </w:r>
      <w:hyperlink r:id="rId7" w:history="1">
        <w:r w:rsidRPr="00805574">
          <w:rPr>
            <w:rFonts w:ascii="Times New Roman" w:eastAsia="Calibri" w:hAnsi="Times New Roman" w:cs="Times New Roman"/>
            <w:color w:val="0000FF"/>
            <w:kern w:val="0"/>
            <w:szCs w:val="22"/>
            <w:u w:val="single"/>
            <w14:ligatures w14:val="none"/>
          </w:rPr>
          <w:t>http://ec.europa.eu/programmes/erasmus-plus/resources/distance-calculator_pl</w:t>
        </w:r>
      </w:hyperlink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. </w:t>
      </w:r>
    </w:p>
    <w:p w14:paraId="62E732E8" w14:textId="77777777" w:rsidR="00805574" w:rsidRPr="00805574" w:rsidRDefault="00805574" w:rsidP="0080557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 xml:space="preserve">Beneficjent oblicza całkowity wkład jednostkowy na dofinansowanie kosztów podróży za pośrednictwem narzędzia sprawozdawczości i zarządzania programem Erasmus+ na podstawie mających zastosowanie stawek wkładu jednostkowego. </w:t>
      </w:r>
    </w:p>
    <w:p w14:paraId="5A98E3FE" w14:textId="77777777" w:rsidR="00805574" w:rsidRPr="00805574" w:rsidRDefault="00805574" w:rsidP="00805574">
      <w:pPr>
        <w:numPr>
          <w:ilvl w:val="0"/>
          <w:numId w:val="3"/>
        </w:num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</w:t>
      </w:r>
    </w:p>
    <w:p w14:paraId="366F6ED3" w14:textId="77777777" w:rsidR="00805574" w:rsidRPr="00805574" w:rsidRDefault="00805574" w:rsidP="00805574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Podróż jest kwalifikowana (uprawniona) wtedy, gdy uczestnik faktycznie podjął działanie.</w:t>
      </w:r>
    </w:p>
    <w:p w14:paraId="6BFB6F8A" w14:textId="77777777" w:rsidR="00805574" w:rsidRPr="00805574" w:rsidRDefault="00805574" w:rsidP="00805574">
      <w:pPr>
        <w:suppressAutoHyphens/>
        <w:spacing w:after="0" w:line="100" w:lineRule="atLeast"/>
        <w:ind w:left="502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7F2E7A3" w14:textId="77777777" w:rsidR="00805574" w:rsidRPr="00805574" w:rsidRDefault="00805574" w:rsidP="00805574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color w:val="000000"/>
          <w:kern w:val="0"/>
          <w:szCs w:val="22"/>
          <w:u w:val="single"/>
          <w14:ligatures w14:val="none"/>
        </w:rPr>
        <w:t xml:space="preserve">Dokumenty potwierdzające </w:t>
      </w:r>
    </w:p>
    <w:p w14:paraId="2CAD1E46" w14:textId="77777777" w:rsidR="00805574" w:rsidRPr="00805574" w:rsidRDefault="00805574" w:rsidP="00805574">
      <w:pPr>
        <w:suppressAutoHyphens/>
        <w:spacing w:after="0" w:line="100" w:lineRule="atLeast"/>
        <w:rPr>
          <w:rFonts w:ascii="Calibri" w:eastAsia="Calibri" w:hAnsi="Calibri" w:cs="Times New Roman"/>
          <w:color w:val="000000"/>
          <w:kern w:val="0"/>
          <w:sz w:val="22"/>
          <w:szCs w:val="22"/>
          <w:u w:val="single"/>
          <w14:ligatures w14:val="none"/>
        </w:rPr>
      </w:pPr>
    </w:p>
    <w:p w14:paraId="086F36E7" w14:textId="77777777" w:rsidR="00805574" w:rsidRPr="00805574" w:rsidRDefault="00805574" w:rsidP="00805574">
      <w:pPr>
        <w:suppressAutoHyphens/>
        <w:spacing w:after="0" w:line="100" w:lineRule="atLeast"/>
        <w:rPr>
          <w:rFonts w:ascii="Calibri" w:eastAsia="Calibri" w:hAnsi="Calibri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805574">
        <w:rPr>
          <w:rFonts w:ascii="Calibri" w:eastAsia="Calibri" w:hAnsi="Calibri" w:cs="Times New Roman"/>
          <w:color w:val="000000"/>
          <w:kern w:val="0"/>
          <w:sz w:val="22"/>
          <w:szCs w:val="22"/>
          <w:u w:val="single"/>
          <w14:ligatures w14:val="none"/>
        </w:rPr>
        <w:t>Dokumentem potwierdzającym w przypadku działań indywidualnych jest:</w:t>
      </w:r>
    </w:p>
    <w:p w14:paraId="2D99FCBB" w14:textId="77777777" w:rsidR="00805574" w:rsidRPr="00805574" w:rsidRDefault="00805574" w:rsidP="00805574">
      <w:pPr>
        <w:suppressAutoHyphens/>
        <w:spacing w:after="0" w:line="100" w:lineRule="atLeast"/>
        <w:ind w:left="1440"/>
        <w:jc w:val="both"/>
        <w:rPr>
          <w:rFonts w:ascii="Times New Roman" w:eastAsia="SimSun" w:hAnsi="Times New Roman" w:cs="Times New Roman"/>
          <w:color w:val="000000"/>
          <w:kern w:val="0"/>
          <w14:ligatures w14:val="none"/>
        </w:rPr>
      </w:pPr>
    </w:p>
    <w:p w14:paraId="07817059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805574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- dowód uczestnictwa w działaniu w formie dokumentu: dokument </w:t>
      </w:r>
      <w:proofErr w:type="spellStart"/>
      <w:r w:rsidRPr="00805574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Europass</w:t>
      </w:r>
      <w:proofErr w:type="spellEnd"/>
      <w:r w:rsidRPr="00805574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-Mobilność lub innego rodzaju dokument określający efekty uczenia się, zawierający daty rozpoczęcia i zakończenia działania.</w:t>
      </w:r>
    </w:p>
    <w:p w14:paraId="0BBFB4B7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548494AA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805574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W przypadku udziału osób towarzyszących, ich imiona i nazwiska oraz okres pobytu muszą zostać wpisane w tym samym dokumencie lub w oddzielnym zaświadczeniu.</w:t>
      </w:r>
    </w:p>
    <w:p w14:paraId="7D4822D5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536D46DB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805574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Dokumenty potwierdzające muszą być podpisane przez organizację przyjmującą lub organizację wysyłającą. </w:t>
      </w:r>
    </w:p>
    <w:p w14:paraId="2244149B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28D73801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805574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- ponadto w odniesieniu do następujących rodzajów działań: </w:t>
      </w:r>
    </w:p>
    <w:p w14:paraId="638C52F5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B050"/>
          <w:kern w:val="0"/>
          <w:szCs w:val="22"/>
          <w14:ligatures w14:val="none"/>
        </w:rPr>
      </w:pPr>
    </w:p>
    <w:p w14:paraId="19575D9E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>obserwacja pracy, wyjazd w celu prowadzenia zajęć, kursy i szkolenia, Krótkoterminowa mobilność edukacyjna osób uczących się w ramach kształcenia i szkolenia zawodowego, długoterminowa mobilność edukacyjna osób uczących się w ramach kształcenia i szkolenia zawodowego (</w:t>
      </w:r>
      <w:proofErr w:type="spellStart"/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>ErasmusPro</w:t>
      </w:r>
      <w:proofErr w:type="spellEnd"/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>), przyjmowanie szkolących się nauczycieli i edukatorów</w:t>
      </w:r>
      <w:r w:rsidRPr="00805574" w:rsidDel="00B80B9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  <w:r w:rsidRPr="00805574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wymagana będzie, jako dokumentacja uzupełniająca: podpisana umowa o udzielenie dotacji między beneficjentem a uczestnikiem</w:t>
      </w:r>
      <w:r w:rsidRPr="00805574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  <w:t>.</w:t>
      </w:r>
    </w:p>
    <w:p w14:paraId="47AF3D5B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</w:pPr>
    </w:p>
    <w:p w14:paraId="28D1A66D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14:ligatures w14:val="none"/>
        </w:rPr>
        <w:t>- w przypadku zaproszenia ekspertów: program uczenia się dostarczony przez eksperta, podpisany przez niego i przez organizację zapraszającą.</w:t>
      </w:r>
    </w:p>
    <w:p w14:paraId="0DEA5953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color w:val="000000"/>
          <w:kern w:val="0"/>
          <w:szCs w:val="22"/>
          <w14:ligatures w14:val="none"/>
        </w:rPr>
      </w:pPr>
    </w:p>
    <w:p w14:paraId="727181B1" w14:textId="77777777" w:rsidR="00805574" w:rsidRPr="00805574" w:rsidRDefault="00805574" w:rsidP="00805574">
      <w:pPr>
        <w:suppressAutoHyphens/>
        <w:spacing w:after="240" w:line="276" w:lineRule="auto"/>
        <w:rPr>
          <w:rFonts w:ascii="Calibri" w:eastAsia="SimSun" w:hAnsi="Calibri" w:cs="Times New Roman"/>
          <w:color w:val="000000"/>
          <w:kern w:val="0"/>
          <w:sz w:val="22"/>
          <w:u w:val="single"/>
          <w14:ligatures w14:val="none"/>
        </w:rPr>
      </w:pPr>
      <w:r w:rsidRPr="00805574"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  <w:t>Dokumentem potwierdzającym w przypadku działań grupowych są:</w:t>
      </w:r>
    </w:p>
    <w:p w14:paraId="07895A84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lista uczestników i osób towarzyszących oraz zrealizowany program uczenia się, (zawierający daty rozpoczęcia i zakończenia działania, harmonogram działań i zastosowane metody). </w:t>
      </w:r>
    </w:p>
    <w:p w14:paraId="3B622D21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6A2726" w14:textId="77777777" w:rsidR="00805574" w:rsidRPr="00805574" w:rsidRDefault="00805574" w:rsidP="0080557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805574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Dokumenty potwierdzające muszą być podpisane przez organizację wysyłającą i organizację przyjmującą. </w:t>
      </w:r>
    </w:p>
    <w:p w14:paraId="436CC6AE" w14:textId="77777777" w:rsidR="00805574" w:rsidRPr="00805574" w:rsidRDefault="00805574" w:rsidP="00805574">
      <w:pPr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</w:p>
    <w:p w14:paraId="3F0ECDF0" w14:textId="77777777" w:rsidR="00805574" w:rsidRPr="00805574" w:rsidRDefault="00805574" w:rsidP="00805574">
      <w:pPr>
        <w:tabs>
          <w:tab w:val="left" w:pos="851"/>
        </w:tabs>
        <w:suppressAutoHyphens/>
        <w:spacing w:after="240" w:line="276" w:lineRule="auto"/>
        <w:ind w:left="720"/>
        <w:rPr>
          <w:rFonts w:ascii="Calibri" w:eastAsia="SimSun" w:hAnsi="Calibri" w:cs="Times New Roman"/>
          <w:color w:val="000000"/>
          <w:kern w:val="0"/>
          <w:sz w:val="22"/>
          <w14:ligatures w14:val="none"/>
        </w:rPr>
      </w:pPr>
      <w:r w:rsidRPr="00805574">
        <w:rPr>
          <w:rFonts w:ascii="Times New Roman" w:eastAsia="Calibri" w:hAnsi="Times New Roman" w:cs="Times New Roman"/>
          <w:color w:val="000000"/>
          <w:kern w:val="0"/>
          <w14:ligatures w14:val="none"/>
        </w:rPr>
        <w:t>W przypadku działań grupowych organizowanych w siedzibie jednej z instytucji Unii Europejskiej dokumenty potwierdzające muszą być podpisane przez dwie organizacje wysyłające, zaś podpis organizacji przyjmującej nie jest wymagany.</w:t>
      </w:r>
    </w:p>
    <w:p w14:paraId="35FF4A07" w14:textId="77777777" w:rsidR="00805574" w:rsidRPr="00805574" w:rsidRDefault="00805574" w:rsidP="00805574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:lang w:eastAsia="ar-SA"/>
          <w14:ligatures w14:val="none"/>
        </w:rPr>
      </w:pPr>
    </w:p>
    <w:p w14:paraId="1DC7C038" w14:textId="77777777" w:rsidR="00805574" w:rsidRPr="00805574" w:rsidRDefault="00805574" w:rsidP="00805574">
      <w:pPr>
        <w:suppressAutoHyphens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Ponadto, oprócz dokumentów potwierdzających określonych powyżej, w przypadku korzystania ze zrównoważonych środków transportu (podróż z wykorzystaniem ekologicznych </w:t>
      </w:r>
      <w:r w:rsidRPr="00805574">
        <w:rPr>
          <w:rFonts w:ascii="Times New Roman" w:eastAsia="Calibri" w:hAnsi="Times New Roman" w:cs="Times New Roman"/>
          <w:color w:val="000000"/>
          <w:kern w:val="0"/>
          <w14:ligatures w14:val="none"/>
        </w:rPr>
        <w:lastRenderedPageBreak/>
        <w:t xml:space="preserve">środków transportu): dokumentem potwierdzającym będzie oświadczenie podpisane przez osobę otrzymującą dotację na podróż. </w:t>
      </w:r>
      <w:r w:rsidRPr="00805574">
        <w:rPr>
          <w:rFonts w:ascii="Times New Roman" w:eastAsia="Calibri" w:hAnsi="Times New Roman" w:cs="Times New Roman"/>
          <w:kern w:val="0"/>
          <w14:ligatures w14:val="none"/>
        </w:rPr>
        <w:t xml:space="preserve">W przypadku działań grupowych oświadczenie o podróży grupy podpisuje organizacja wysyłająca. </w:t>
      </w:r>
    </w:p>
    <w:p w14:paraId="1325D75F" w14:textId="77777777" w:rsidR="00805574" w:rsidRPr="00805574" w:rsidRDefault="00805574" w:rsidP="00805574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:lang w:eastAsia="ar-SA"/>
          <w14:ligatures w14:val="none"/>
        </w:rPr>
      </w:pPr>
    </w:p>
    <w:p w14:paraId="2DC425BD" w14:textId="77777777" w:rsidR="00805574" w:rsidRPr="00805574" w:rsidRDefault="00805574" w:rsidP="00805574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Jeżeli miejsce rozpoczęcia podróży jest inne niż miejsce pochodzenia lub miejsce zakończenia podróży jest inne niż miejsce działania, beneficjent musi zgłosić przyczynę tej różnicy. W przypadku gdy podróż nie odbyła się lub gdy została sfinansowana ze źródeł innych niż program Erasmus+, beneficjent wskazuje w swoim sprawozdaniu, że dofinansowanie kosztów podróży nie jest wymagane.</w:t>
      </w:r>
    </w:p>
    <w:p w14:paraId="58E88F69" w14:textId="77777777" w:rsidR="00805574" w:rsidRPr="00805574" w:rsidRDefault="00805574" w:rsidP="00805574">
      <w:pPr>
        <w:keepNext/>
        <w:keepLines/>
        <w:spacing w:before="240" w:after="200" w:line="240" w:lineRule="auto"/>
        <w:jc w:val="both"/>
        <w:outlineLvl w:val="1"/>
        <w:rPr>
          <w:rFonts w:ascii="Times New Roman Bold" w:eastAsia="Calibri" w:hAnsi="Times New Roman Bold" w:cs="Times New Roman"/>
          <w:kern w:val="0"/>
          <w14:ligatures w14:val="none"/>
        </w:rPr>
      </w:pPr>
      <w:r w:rsidRPr="0080557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1.2 Wsparcie indywidualne</w:t>
      </w:r>
    </w:p>
    <w:p w14:paraId="6CD2A17C" w14:textId="77777777" w:rsidR="00805574" w:rsidRPr="00805574" w:rsidRDefault="00805574" w:rsidP="00805574">
      <w:pPr>
        <w:numPr>
          <w:ilvl w:val="0"/>
          <w:numId w:val="4"/>
        </w:num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: </w:t>
      </w:r>
    </w:p>
    <w:p w14:paraId="6789F2ED" w14:textId="77777777" w:rsidR="00805574" w:rsidRPr="00805574" w:rsidRDefault="00805574" w:rsidP="00805574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Całkowity wkład jednostkowy oblicza się, mnożąc liczbę dni działania w przeliczeniu na uczestnika i osobę towarzyszącą przez wkład jednostkowy mający zastosowanie w przeliczeniu na dzień w danym kraju przyjmującym, jak określono w załączniku 3 do umowy. Można dodać dni podróży, jeżeli są one istotne dla danego działania.</w:t>
      </w:r>
    </w:p>
    <w:p w14:paraId="3239690E" w14:textId="77777777" w:rsidR="00805574" w:rsidRPr="00805574" w:rsidRDefault="00805574" w:rsidP="00805574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przerwy w trakcie pobytu, okres przerwy nie będzie brany pod uwagę przy obliczaniu dotacji na wsparcie indywidualne. W przypadku przerwy spowodowanej siłą wyższą uczestnik musi mieć możliwość wznowienia i kontynuowania działań po przerwie (na warunkach określonych w niniejszej umowie).</w:t>
      </w:r>
    </w:p>
    <w:p w14:paraId="5F801AB2" w14:textId="77777777" w:rsidR="00805574" w:rsidRPr="00805574" w:rsidRDefault="00805574" w:rsidP="00805574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W przypadku rozwiązania przez uczestnika umowy ze względu na działanie siły wyższej uczestnik musi mieć prawo do otrzymania kwoty dotacji w wysokości odpowiadającej rzeczywistemu czasowi trwania okresu mobilności. Wszelkie pozostałe środki muszą zostać zwrócone beneficjentowi, chyba że strony uzgodniły inaczej.</w:t>
      </w:r>
    </w:p>
    <w:p w14:paraId="508D0BFC" w14:textId="77777777" w:rsidR="00805574" w:rsidRPr="00805574" w:rsidRDefault="00805574" w:rsidP="00805574">
      <w:pPr>
        <w:numPr>
          <w:ilvl w:val="0"/>
          <w:numId w:val="4"/>
        </w:num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4E119CE9" w14:textId="77777777" w:rsidR="00805574" w:rsidRPr="00805574" w:rsidRDefault="00805574" w:rsidP="00805574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Wsparcie indywidualne jest kwalifikowalne (uprawnione) tylko wtedy, gdy uczestnik faktycznie podjął działanie w określonym czasie.</w:t>
      </w:r>
    </w:p>
    <w:p w14:paraId="14BD72BC" w14:textId="77777777" w:rsidR="00805574" w:rsidRPr="00805574" w:rsidRDefault="00805574" w:rsidP="00805574">
      <w:pPr>
        <w:numPr>
          <w:ilvl w:val="0"/>
          <w:numId w:val="4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>Dokumenty potwierdzające:</w:t>
      </w:r>
    </w:p>
    <w:p w14:paraId="42E752D7" w14:textId="77777777" w:rsidR="00805574" w:rsidRPr="00805574" w:rsidRDefault="00805574" w:rsidP="00805574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>Te same dokumenty potwierdzające, które są wymagane w przypadku podróży (zob. sekcja 1.1.c).</w:t>
      </w:r>
    </w:p>
    <w:p w14:paraId="3F61D2F4" w14:textId="77777777" w:rsidR="00805574" w:rsidRPr="00805574" w:rsidRDefault="00805574" w:rsidP="00805574">
      <w:pPr>
        <w:numPr>
          <w:ilvl w:val="0"/>
          <w:numId w:val="4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color w:val="000000"/>
          <w:kern w:val="0"/>
          <w:u w:val="single"/>
          <w14:ligatures w14:val="none"/>
        </w:rPr>
      </w:pPr>
      <w:r w:rsidRPr="00805574">
        <w:rPr>
          <w:rFonts w:ascii="Times New Roman" w:eastAsia="Calibri" w:hAnsi="Times New Roman" w:cs="Times New Roman"/>
          <w:color w:val="000000"/>
          <w:kern w:val="0"/>
          <w:szCs w:val="22"/>
          <w:u w:val="single"/>
          <w14:ligatures w14:val="none"/>
        </w:rPr>
        <w:t xml:space="preserve">Sprawozdawczość: </w:t>
      </w:r>
    </w:p>
    <w:p w14:paraId="26E6B41B" w14:textId="0138F15A" w:rsidR="00805574" w:rsidRPr="00805574" w:rsidRDefault="00805574" w:rsidP="00805574">
      <w:pPr>
        <w:suppressAutoHyphens/>
        <w:spacing w:line="276" w:lineRule="auto"/>
        <w:jc w:val="both"/>
        <w:rPr>
          <w:rFonts w:ascii="Times New Roman" w:eastAsia="Calibri" w:hAnsi="Times New Roman" w:cs="Times New Roman"/>
          <w:strike/>
          <w:kern w:val="0"/>
          <w:szCs w:val="22"/>
          <w14:ligatures w14:val="none"/>
        </w:rPr>
      </w:pPr>
      <w:bookmarkStart w:id="0" w:name="_Hlk116664147"/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Uczestnicy muszą wypełnić standardowy kwestionariusz online udostępniony przez Komisję Europejską (sprawozdanie uczestnika), w celu przedstawienia informacji dotyczących faktycznie zrealizowanego działania w zakresie mobilności, jego oceny, działań przygotowawczych do mobilności oraz działań następczych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bookmarkEnd w:id="0"/>
    <w:p w14:paraId="7B984500" w14:textId="77777777" w:rsidR="00805574" w:rsidRPr="00805574" w:rsidRDefault="00805574" w:rsidP="00805574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Od zaproszonych ekspertów nie wymaga się przedłożenia sprawozdania uczestnika.</w:t>
      </w:r>
    </w:p>
    <w:p w14:paraId="1B9BFEFF" w14:textId="77777777" w:rsidR="00805574" w:rsidRPr="00805574" w:rsidRDefault="00805574" w:rsidP="00805574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lastRenderedPageBreak/>
        <w:t>Sprawozdania uczestników dotyczące działań realizowanych w ramach mobilności grupowej w imieniu całej grupy wypełnia wiodąca osoba towarzysząca.</w:t>
      </w:r>
    </w:p>
    <w:p w14:paraId="4A9248FD" w14:textId="77777777" w:rsidR="00805574" w:rsidRPr="00805574" w:rsidRDefault="00805574" w:rsidP="00805574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80557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1.3 Wsparcie organizacyjne</w:t>
      </w:r>
    </w:p>
    <w:p w14:paraId="6906EF45" w14:textId="77777777" w:rsidR="00805574" w:rsidRPr="00805574" w:rsidRDefault="00805574" w:rsidP="00805574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</w:t>
      </w:r>
    </w:p>
    <w:p w14:paraId="4A161058" w14:textId="77777777" w:rsidR="00805574" w:rsidRPr="00805574" w:rsidRDefault="00805574" w:rsidP="00805574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w działaniach w zakresie mobilności przez mający zastosowanie wkład jednostkowy, jak określono w załączniku 3 do umowy. Osoby towarzyszące oraz osoby biorące udział w wizytach przygotowawczych nie są uznawane za uczestników działań w zakresie mobilności i nie są zatem brane pod uwagę przy obliczaniu wsparcia organizacyjnego.</w:t>
      </w:r>
    </w:p>
    <w:p w14:paraId="4B7DD77C" w14:textId="77777777" w:rsidR="00805574" w:rsidRPr="00805574" w:rsidRDefault="00805574" w:rsidP="00805574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35C08FE2" w14:textId="77777777" w:rsidR="00805574" w:rsidRPr="00805574" w:rsidRDefault="00805574" w:rsidP="00805574">
      <w:pPr>
        <w:tabs>
          <w:tab w:val="left" w:pos="567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Wsparcie organizacyjne jest kwalifikowalne (uprawnione) tylko wtedy, gdy uczestnik faktycznie podjął działanie. </w:t>
      </w:r>
    </w:p>
    <w:p w14:paraId="375C90CB" w14:textId="77777777" w:rsidR="00805574" w:rsidRPr="00805574" w:rsidRDefault="00805574" w:rsidP="00805574">
      <w:pPr>
        <w:tabs>
          <w:tab w:val="left" w:pos="426"/>
        </w:tabs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c)</w:t>
      </w: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752B7E5B" w14:textId="77777777" w:rsidR="00805574" w:rsidRPr="00805574" w:rsidRDefault="00805574" w:rsidP="0080557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Te same dokumenty potwierdzające, które są wymagane w przypadku podróży (zob. sekcja 1.1.c).</w:t>
      </w:r>
    </w:p>
    <w:p w14:paraId="209B5542" w14:textId="77777777" w:rsidR="00805574" w:rsidRPr="00805574" w:rsidRDefault="00805574" w:rsidP="00805574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</w:t>
      </w:r>
    </w:p>
    <w:p w14:paraId="0222838C" w14:textId="77777777" w:rsidR="00805574" w:rsidRPr="00805574" w:rsidRDefault="00805574" w:rsidP="00805574">
      <w:pPr>
        <w:suppressAutoHyphens/>
        <w:spacing w:line="276" w:lineRule="auto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805574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Nie dotyczy.</w:t>
      </w:r>
    </w:p>
    <w:p w14:paraId="011D38AD" w14:textId="77777777" w:rsidR="00805574" w:rsidRPr="00805574" w:rsidRDefault="00805574" w:rsidP="00805574">
      <w:pPr>
        <w:suppressAutoHyphens/>
        <w:spacing w:line="276" w:lineRule="auto"/>
        <w:rPr>
          <w:rFonts w:ascii="Calibri" w:eastAsia="Calibri" w:hAnsi="Calibri" w:cs="Times New Roman"/>
          <w:kern w:val="0"/>
          <w:sz w:val="22"/>
          <w:u w:val="single"/>
          <w14:ligatures w14:val="none"/>
        </w:rPr>
      </w:pPr>
    </w:p>
    <w:p w14:paraId="5913FBC5" w14:textId="77777777" w:rsidR="00805574" w:rsidRPr="00805574" w:rsidRDefault="00805574" w:rsidP="00805574">
      <w:pPr>
        <w:suppressAutoHyphens/>
        <w:spacing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1.4-1.6 </w:t>
      </w:r>
    </w:p>
    <w:p w14:paraId="6EAEAADF" w14:textId="77777777" w:rsidR="00805574" w:rsidRPr="00805574" w:rsidDel="00CD2603" w:rsidRDefault="00805574" w:rsidP="00805574">
      <w:pPr>
        <w:suppressAutoHyphens/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Nie dotyczy.</w:t>
      </w:r>
    </w:p>
    <w:p w14:paraId="3DDE12D7" w14:textId="77777777" w:rsidR="00805574" w:rsidRPr="00805574" w:rsidRDefault="00805574" w:rsidP="00805574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1.7 Wsparcie włączenia dla organizacji</w:t>
      </w:r>
    </w:p>
    <w:p w14:paraId="0B859641" w14:textId="77777777" w:rsidR="00805574" w:rsidRPr="00805574" w:rsidRDefault="00805574" w:rsidP="00805574">
      <w:pPr>
        <w:numPr>
          <w:ilvl w:val="0"/>
          <w:numId w:val="6"/>
        </w:numPr>
        <w:suppressAutoHyphens/>
        <w:spacing w:after="0" w:line="276" w:lineRule="auto"/>
        <w:ind w:left="851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1EE1EE6B" w14:textId="77777777" w:rsidR="00805574" w:rsidRPr="00805574" w:rsidRDefault="00805574" w:rsidP="00805574">
      <w:pPr>
        <w:suppressAutoHyphens/>
        <w:spacing w:after="0" w:line="276" w:lineRule="auto"/>
        <w:rPr>
          <w:rFonts w:ascii="Calibri" w:eastAsia="SimSun" w:hAnsi="Calibri" w:cs="Times New Roman"/>
          <w:kern w:val="0"/>
          <w:sz w:val="22"/>
          <w:lang w:eastAsia="ar-SA"/>
          <w14:ligatures w14:val="none"/>
        </w:rPr>
      </w:pPr>
    </w:p>
    <w:p w14:paraId="5C843831" w14:textId="77777777" w:rsidR="00805574" w:rsidRPr="00805574" w:rsidRDefault="00805574" w:rsidP="00805574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o mniejszych szansach działań w zakresie mobilności przez mający zastosowanie wkład jednostkowy, jak określono w załączniku 3 do umowy.</w:t>
      </w:r>
    </w:p>
    <w:p w14:paraId="576C87EA" w14:textId="77777777" w:rsidR="00805574" w:rsidRPr="00805574" w:rsidRDefault="00805574" w:rsidP="00805574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79A70D39" w14:textId="77777777" w:rsidR="00805574" w:rsidRPr="00805574" w:rsidRDefault="00805574" w:rsidP="00805574">
      <w:pPr>
        <w:numPr>
          <w:ilvl w:val="0"/>
          <w:numId w:val="6"/>
        </w:numPr>
        <w:suppressAutoHyphens/>
        <w:spacing w:after="200" w:line="276" w:lineRule="auto"/>
        <w:ind w:left="709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18B32F28" w14:textId="77777777" w:rsidR="00805574" w:rsidRPr="00805574" w:rsidRDefault="00805574" w:rsidP="00805574">
      <w:p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Wsparcie włączenia dla organizacji jest kwalifikowalne (uprawnione) wtedy, gdy dany uczestnik faktycznie podjął działanie.</w:t>
      </w:r>
    </w:p>
    <w:p w14:paraId="2D24D74A" w14:textId="77777777" w:rsidR="00805574" w:rsidRPr="00805574" w:rsidRDefault="00805574" w:rsidP="00805574">
      <w:pPr>
        <w:numPr>
          <w:ilvl w:val="0"/>
          <w:numId w:val="6"/>
        </w:numPr>
        <w:suppressAutoHyphens/>
        <w:spacing w:after="120" w:line="276" w:lineRule="auto"/>
        <w:ind w:left="709" w:hanging="425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79640FD7" w14:textId="77777777" w:rsidR="00805574" w:rsidRPr="00805574" w:rsidRDefault="00805574" w:rsidP="00805574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Dokumentami potwierdzającymi są te same dokumenty potwierdzające, które są wymagane w przypadku podróży (zob. sekcja 1.1.c).</w:t>
      </w:r>
    </w:p>
    <w:p w14:paraId="0EC0A2C5" w14:textId="77777777" w:rsidR="00805574" w:rsidRPr="00805574" w:rsidRDefault="00805574" w:rsidP="00805574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b/>
          <w:kern w:val="0"/>
          <w:shd w:val="clear" w:color="auto" w:fill="00FFFF"/>
          <w14:ligatures w14:val="none"/>
        </w:rPr>
      </w:pPr>
      <w:r w:rsidRPr="00805574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lastRenderedPageBreak/>
        <w:t>Ponadto: dokumentacja określona przez agencję narodową jako dopuszczalny dowód na to, że uczestnik należy do jednej z kategorii osób o mniejszych szansach wymienionych w „Przewodniku po programie”.</w:t>
      </w:r>
    </w:p>
    <w:p w14:paraId="0F311631" w14:textId="77777777" w:rsidR="00805574" w:rsidRPr="00805574" w:rsidRDefault="00805574" w:rsidP="00805574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0557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1.8 Wsparcie językowe</w:t>
      </w:r>
      <w:r w:rsidRPr="00805574">
        <w:rPr>
          <w:rFonts w:ascii="Times New Roman" w:eastAsia="Times New Roman" w:hAnsi="Times New Roman" w:cs="Times New Roman"/>
          <w:b/>
          <w:bCs/>
          <w:kern w:val="0"/>
          <w:szCs w:val="26"/>
          <w14:ligatures w14:val="none"/>
        </w:rPr>
        <w:t xml:space="preserve"> </w:t>
      </w:r>
    </w:p>
    <w:p w14:paraId="692D193C" w14:textId="77777777" w:rsidR="00805574" w:rsidRPr="00805574" w:rsidRDefault="00805574" w:rsidP="00805574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022DFEEC" w14:textId="77777777" w:rsidR="00805574" w:rsidRPr="00805574" w:rsidRDefault="00805574" w:rsidP="00805574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uczestników otrzymujących wsparcie językowe przez mający zastosowanie wkład jednostkowy, jak określono w załączniku 3 do umowy.</w:t>
      </w:r>
    </w:p>
    <w:p w14:paraId="39995B55" w14:textId="77777777" w:rsidR="00805574" w:rsidRPr="00805574" w:rsidRDefault="00805574" w:rsidP="00805574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Uczestników, którzy skorzystali ze wsparcia językowego online (OLS), nie uwzględnia się na potrzeby tego obliczenia. Jeżeli wynik oceny OLS wskazuje, że poziom uczestnika w wymaganym języku nie jest objęty systemem OLS, wynik ten zostanie uznany za wystarczające uzasadnienie wniosku o wkład jednostkowy wsparcia językowego, jak określono w „Przewodniku po programie”.</w:t>
      </w:r>
    </w:p>
    <w:p w14:paraId="4B519D2E" w14:textId="77777777" w:rsidR="00805574" w:rsidRPr="00805574" w:rsidRDefault="00805574" w:rsidP="00805574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Osoby uczące się w ramach mobilności długoterminowej otrzymają dalsze (dodatkowe) wsparcie językowe odpowiadające temu samemu wkładowi jednostkowemu określonemu w załączniku 3 do umowy.</w:t>
      </w:r>
    </w:p>
    <w:p w14:paraId="1507BB44" w14:textId="77777777" w:rsidR="00805574" w:rsidRPr="00805574" w:rsidRDefault="00805574" w:rsidP="00805574">
      <w:pPr>
        <w:numPr>
          <w:ilvl w:val="0"/>
          <w:numId w:val="1"/>
        </w:numPr>
        <w:suppressAutoHyphens/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14:paraId="64A7D31A" w14:textId="77777777" w:rsidR="00805574" w:rsidRPr="00805574" w:rsidRDefault="00805574" w:rsidP="0080557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Wkład jednostkowy jest kwalifikowalny (uprawniony) wtedy, gdy dany uczestnik faktycznie otrzymał wsparcie w zakresie nauki języka.</w:t>
      </w:r>
    </w:p>
    <w:p w14:paraId="155A7D84" w14:textId="77777777" w:rsidR="00805574" w:rsidRPr="00805574" w:rsidRDefault="00805574" w:rsidP="00805574">
      <w:pPr>
        <w:numPr>
          <w:ilvl w:val="0"/>
          <w:numId w:val="1"/>
        </w:numPr>
        <w:suppressAutoHyphens/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4B8DE81A" w14:textId="77777777" w:rsidR="00805574" w:rsidRPr="00805574" w:rsidRDefault="00805574" w:rsidP="0080557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Dokumentem potwierdzającym jest oświadczenie lub świadectwo  podpisane przez organizatora kursu, w którym wyszczególniono imię i nazwisko uczestnika, nauczany język, format i czas trwania kursu lub, w przypadku gdy szkolenie językowe zapewnia organizacja wysyłająca lub przyjmująca: oświadczenie opatrzone podpisem i datą przez organizację zapewniającą szkolenie, w którym wyszczególniono imię i nazwisko uczestnika, nauczany język oraz format i czas trwania szkolenia językowego.</w:t>
      </w:r>
    </w:p>
    <w:p w14:paraId="1E0DFB4C" w14:textId="77777777" w:rsidR="00805574" w:rsidRPr="00805574" w:rsidRDefault="00805574" w:rsidP="00805574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</w:t>
      </w:r>
    </w:p>
    <w:p w14:paraId="196E61E3" w14:textId="77777777" w:rsidR="00805574" w:rsidRPr="00805574" w:rsidRDefault="00805574" w:rsidP="00805574">
      <w:pPr>
        <w:suppressAutoHyphens/>
        <w:spacing w:line="276" w:lineRule="auto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Beneficjent musi zgłosić liczbę uczestników, którzy skorzystali ze wsparcia językowego i OLS.</w:t>
      </w:r>
    </w:p>
    <w:p w14:paraId="3AADFBAF" w14:textId="77777777" w:rsidR="00805574" w:rsidRPr="00805574" w:rsidRDefault="00805574" w:rsidP="00805574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0557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1.9 Opłata za udział w kursie</w:t>
      </w:r>
    </w:p>
    <w:p w14:paraId="3F9D4795" w14:textId="77777777" w:rsidR="00805574" w:rsidRPr="00805574" w:rsidRDefault="00805574" w:rsidP="00805574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14:paraId="0FD00542" w14:textId="77777777" w:rsidR="00805574" w:rsidRPr="00805574" w:rsidRDefault="00805574" w:rsidP="0080557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oblicza się, mnożąc łączną liczbę dni danego kursu lub szkolenia przez mający zastosowanie wkład jednostkowy, jak określono w załączniku 3 do umowy. Przy obliczaniu dotacji na opłaty za kurs uwzględnia się jedynie rzeczywistą liczbę dni, w których faktycznie odbywają się zajęcia edukacyjne.</w:t>
      </w:r>
    </w:p>
    <w:p w14:paraId="3A667E8F" w14:textId="77777777" w:rsidR="00805574" w:rsidRPr="00805574" w:rsidRDefault="00805574" w:rsidP="00805574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lastRenderedPageBreak/>
        <w:t xml:space="preserve">Zdarzenie inicjujące: </w:t>
      </w:r>
    </w:p>
    <w:p w14:paraId="0911F5AA" w14:textId="77777777" w:rsidR="00805574" w:rsidRPr="00805574" w:rsidRDefault="00805574" w:rsidP="00805574">
      <w:pPr>
        <w:suppressAutoHyphens/>
        <w:spacing w:line="276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Całkowity wkład jednostkowy na pokrycie opłat za kurs jest kwalifikowalny (uprawniony)  w przypadku, gdy dany uczestnik faktycznie uczestniczył w kursie lub szkoleniu wymagającym uiszczenia opłaty.</w:t>
      </w:r>
    </w:p>
    <w:p w14:paraId="110A39B3" w14:textId="77777777" w:rsidR="00805574" w:rsidRPr="00805574" w:rsidRDefault="00805574" w:rsidP="00805574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14:paraId="505451AE" w14:textId="77777777" w:rsidR="00805574" w:rsidRPr="00805574" w:rsidRDefault="00805574" w:rsidP="0080557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Dokumentem potwierdzającym jest faktura lub inne wydane i podpisane przez organizatora kursu lub szkolenia zaświadczenie, w którym wyszczególniono imię i nazwisko uczestnika, nazwę odbytego kursu lub szkolenia oraz daty rozpoczęcia i zakończenia udziału uczestnika.</w:t>
      </w:r>
    </w:p>
    <w:p w14:paraId="4DCE6F41" w14:textId="77777777" w:rsidR="00805574" w:rsidRPr="00805574" w:rsidRDefault="00805574" w:rsidP="00805574">
      <w:pPr>
        <w:keepNext/>
        <w:keepLines/>
        <w:spacing w:before="240" w:after="200" w:line="240" w:lineRule="auto"/>
        <w:jc w:val="both"/>
        <w:outlineLvl w:val="1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1.10 Wizyty przygotowawcze</w:t>
      </w:r>
    </w:p>
    <w:p w14:paraId="038EF1CD" w14:textId="77777777" w:rsidR="00805574" w:rsidRPr="00805574" w:rsidRDefault="00805574" w:rsidP="00805574">
      <w:pPr>
        <w:numPr>
          <w:ilvl w:val="0"/>
          <w:numId w:val="8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całkowitego wkładu jednostkowego:</w:t>
      </w:r>
    </w:p>
    <w:p w14:paraId="1DDEE924" w14:textId="77777777" w:rsidR="00805574" w:rsidRPr="00805574" w:rsidRDefault="00805574" w:rsidP="00805574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Całkowity wkład jednostkowy oblicza się, mnożąc łączną liczbę osób uczestniczących w wizytach przygotowawczych przez mający zastosowanie wkład jednostkowy, jak określono w załączniku 3 do umowy. </w:t>
      </w:r>
    </w:p>
    <w:p w14:paraId="0BA2CF3E" w14:textId="77777777" w:rsidR="00805574" w:rsidRPr="00805574" w:rsidRDefault="00805574" w:rsidP="00805574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7FF523BC" w14:textId="77777777" w:rsidR="00805574" w:rsidRPr="00805574" w:rsidRDefault="00805574" w:rsidP="00805574">
      <w:pPr>
        <w:numPr>
          <w:ilvl w:val="0"/>
          <w:numId w:val="8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Zdarzenie inicjujące:</w:t>
      </w:r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7A68D58F" w14:textId="77777777" w:rsidR="00805574" w:rsidRPr="00805574" w:rsidRDefault="00805574" w:rsidP="00805574">
      <w:pPr>
        <w:suppressAutoHyphens/>
        <w:spacing w:line="276" w:lineRule="auto"/>
        <w:jc w:val="both"/>
        <w:rPr>
          <w:rFonts w:ascii="Times New Roman" w:eastAsia="SimSun" w:hAnsi="Times New Roman" w:cs="Times New Roman"/>
          <w:kern w:val="0"/>
          <w:shd w:val="clear" w:color="auto" w:fill="00FFFF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Wkład jednostkowy na wizytę przygotowawczą jest kwalifikowalny (uprawniony), gdy dany uczestnik faktycznie wziął udział w wizycie przygotowawczej.</w:t>
      </w:r>
    </w:p>
    <w:p w14:paraId="22D5CF4E" w14:textId="77777777" w:rsidR="00805574" w:rsidRPr="00805574" w:rsidRDefault="00805574" w:rsidP="00805574">
      <w:pPr>
        <w:numPr>
          <w:ilvl w:val="0"/>
          <w:numId w:val="8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7F7E9CA7" w14:textId="77777777" w:rsidR="00805574" w:rsidRPr="00805574" w:rsidRDefault="00805574" w:rsidP="0080557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Dokumentem potwierdzającym jest wypełniony program spotkania zawierający  imiona i nazwiska osób przyjeżdżających, podpisany przez osoby przyjeżdżające i organizację przyjmującą. </w:t>
      </w:r>
    </w:p>
    <w:p w14:paraId="374CB126" w14:textId="77777777" w:rsidR="00805574" w:rsidRPr="00805574" w:rsidRDefault="00805574" w:rsidP="00805574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1434C9A9" w14:textId="77777777" w:rsidR="00805574" w:rsidRPr="00805574" w:rsidRDefault="00805574" w:rsidP="00805574">
      <w:pPr>
        <w:keepNext/>
        <w:keepLines/>
        <w:numPr>
          <w:ilvl w:val="0"/>
          <w:numId w:val="11"/>
        </w:numPr>
        <w:spacing w:before="200" w:after="200" w:line="240" w:lineRule="auto"/>
        <w:jc w:val="both"/>
        <w:outlineLvl w:val="0"/>
        <w:rPr>
          <w:rFonts w:ascii="Times New Roman Bold" w:eastAsia="Calibri" w:hAnsi="Times New Roman Bold" w:cs="Times New Roman"/>
          <w:b/>
          <w:bCs/>
          <w:smallCaps/>
          <w:kern w:val="0"/>
          <w:szCs w:val="28"/>
          <w:u w:val="single"/>
          <w14:ligatures w14:val="none"/>
        </w:rPr>
      </w:pPr>
      <w:r w:rsidRPr="00805574">
        <w:rPr>
          <w:rFonts w:ascii="Times New Roman Bold" w:eastAsia="Times New Roman" w:hAnsi="Times New Roman Bold" w:cs="Times New Roman"/>
          <w:b/>
          <w:bCs/>
          <w:smallCaps/>
          <w:kern w:val="0"/>
          <w:szCs w:val="28"/>
          <w:u w:val="single"/>
          <w14:ligatures w14:val="none"/>
        </w:rPr>
        <w:t>Koszty rzeczywiste</w:t>
      </w:r>
    </w:p>
    <w:p w14:paraId="48291D7A" w14:textId="77777777" w:rsidR="00805574" w:rsidRPr="00805574" w:rsidRDefault="00805574" w:rsidP="00805574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u w:val="single"/>
          <w14:ligatures w14:val="none"/>
        </w:rPr>
      </w:pPr>
      <w:r w:rsidRPr="0080557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2.1 Wsparcie włączenia dla uczestników</w:t>
      </w:r>
    </w:p>
    <w:p w14:paraId="6C5CBD4A" w14:textId="77777777" w:rsidR="00805574" w:rsidRPr="00805574" w:rsidRDefault="00805574" w:rsidP="00805574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3CD6B645" w14:textId="77777777" w:rsidR="00805574" w:rsidRPr="00805574" w:rsidRDefault="00805574" w:rsidP="00805574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Dotacja stanowi zwrot 100 % faktycznie poniesionych kosztów kwalifikowalnych.</w:t>
      </w:r>
    </w:p>
    <w:p w14:paraId="141B4E9C" w14:textId="77777777" w:rsidR="00805574" w:rsidRPr="00805574" w:rsidRDefault="00805574" w:rsidP="00805574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b)</w:t>
      </w: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Koszty kwalifikowalne</w:t>
      </w: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: </w:t>
      </w:r>
    </w:p>
    <w:p w14:paraId="76A36C78" w14:textId="77777777" w:rsidR="00805574" w:rsidRPr="00805574" w:rsidRDefault="00805574" w:rsidP="00805574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>Koszty kwalifikowalne są to koszty bezpośrednio związane z uczestnikami o mniejszych szansach i osobami im towarzyszącymi. Jeżeli dana osoba występuje o zwrot kosztów podróży i wsparcia indywidualnego w ramach tej kategorii budżetu, nie można wnioskować o wkład jednostkowy w odniesieniu do tych kategorii dla tej samej osoby.</w:t>
      </w:r>
    </w:p>
    <w:p w14:paraId="76852177" w14:textId="77777777" w:rsidR="00805574" w:rsidRPr="00805574" w:rsidRDefault="00805574" w:rsidP="00805574">
      <w:pPr>
        <w:tabs>
          <w:tab w:val="left" w:pos="709"/>
        </w:tabs>
        <w:suppressAutoHyphens/>
        <w:spacing w:line="276" w:lineRule="auto"/>
        <w:ind w:left="360"/>
        <w:rPr>
          <w:rFonts w:ascii="Calibri" w:eastAsia="Calibri" w:hAnsi="Calibri" w:cs="Times New Roman"/>
          <w:kern w:val="0"/>
          <w:sz w:val="22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u w:val="single"/>
          <w14:ligatures w14:val="none"/>
        </w:rPr>
        <w:t>c) Dokumenty potwierdzające</w:t>
      </w:r>
      <w:r w:rsidRPr="00805574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:</w:t>
      </w:r>
      <w:r w:rsidRPr="0080557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C61C565" w14:textId="77777777" w:rsidR="00805574" w:rsidRPr="00805574" w:rsidRDefault="00805574" w:rsidP="00805574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faktury stanowiące dowód pokrycia powiązanych kosztów, w których to fakturach wyszczególniono nazwę i adres podmiotu wystawiającego fakturę, kwotę i walutę, datę </w:t>
      </w: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 xml:space="preserve">wystawienia faktury, oraz, w stosownych przypadkach, dokumentacja podpisana przez organizację przyjmującą określająca potwierdzoną datę rozpoczęcia i zakończenia pobytu osoby towarzyszącej.  </w:t>
      </w:r>
    </w:p>
    <w:p w14:paraId="7DDE9492" w14:textId="77777777" w:rsidR="00805574" w:rsidRPr="00805574" w:rsidRDefault="00805574" w:rsidP="00805574">
      <w:pPr>
        <w:numPr>
          <w:ilvl w:val="0"/>
          <w:numId w:val="8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Sprawozdawczość:</w:t>
      </w:r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5EF69FFF" w14:textId="77777777" w:rsidR="00805574" w:rsidRPr="00805574" w:rsidRDefault="00805574" w:rsidP="00805574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odniesieniu do każdej pozycji kosztów w tej kategorii budżetowej beneficjent musi podać charakter kosztów i rzeczywistą kwotę poniesionych kosztów. </w:t>
      </w:r>
    </w:p>
    <w:p w14:paraId="3664D653" w14:textId="77777777" w:rsidR="00805574" w:rsidRPr="00805574" w:rsidRDefault="00805574" w:rsidP="00805574">
      <w:pPr>
        <w:keepNext/>
        <w:keepLines/>
        <w:numPr>
          <w:ilvl w:val="1"/>
          <w:numId w:val="11"/>
        </w:numPr>
        <w:spacing w:before="240" w:after="200" w:line="240" w:lineRule="auto"/>
        <w:ind w:left="426" w:hanging="284"/>
        <w:jc w:val="both"/>
        <w:outlineLvl w:val="1"/>
        <w:rPr>
          <w:rFonts w:ascii="Times New Roman Bold" w:eastAsia="Calibri" w:hAnsi="Times New Roman Bold" w:cs="Times New Roman"/>
          <w:b/>
          <w:bCs/>
          <w:kern w:val="0"/>
          <w:szCs w:val="26"/>
          <w14:ligatures w14:val="none"/>
        </w:rPr>
      </w:pPr>
      <w:r w:rsidRPr="00805574">
        <w:rPr>
          <w:rFonts w:ascii="Times New Roman Bold" w:eastAsia="Times New Roman" w:hAnsi="Times New Roman Bold" w:cs="Times New Roman"/>
          <w:b/>
          <w:bCs/>
          <w:kern w:val="0"/>
          <w:szCs w:val="26"/>
          <w14:ligatures w14:val="none"/>
        </w:rPr>
        <w:t>Koszty nadzwyczajne</w:t>
      </w:r>
    </w:p>
    <w:p w14:paraId="557EFC14" w14:textId="77777777" w:rsidR="00805574" w:rsidRPr="00805574" w:rsidRDefault="00805574" w:rsidP="00805574">
      <w:pPr>
        <w:numPr>
          <w:ilvl w:val="0"/>
          <w:numId w:val="9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>Obliczanie kwoty dotacji:</w:t>
      </w:r>
    </w:p>
    <w:p w14:paraId="03996183" w14:textId="77777777" w:rsidR="00805574" w:rsidRPr="00805574" w:rsidRDefault="00805574" w:rsidP="00805574">
      <w:p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Dotacja stanowi zwrot faktycznie poniesionych następujących kosztów kwalifikowalnych, o ile nie wskazano inaczej poniżej.  </w:t>
      </w:r>
    </w:p>
    <w:p w14:paraId="2E3E94B1" w14:textId="77777777" w:rsidR="00805574" w:rsidRPr="00805574" w:rsidRDefault="00805574" w:rsidP="00805574">
      <w:pPr>
        <w:numPr>
          <w:ilvl w:val="0"/>
          <w:numId w:val="9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 xml:space="preserve">Koszty kwalifikowalne: </w:t>
      </w:r>
    </w:p>
    <w:p w14:paraId="31DB0353" w14:textId="77777777" w:rsidR="00805574" w:rsidRPr="00805574" w:rsidRDefault="00805574" w:rsidP="00805574">
      <w:pPr>
        <w:numPr>
          <w:ilvl w:val="0"/>
          <w:numId w:val="10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Gwarancja finansowa: 80% kosztów gwarancji dotyczącej płatności zaliczkowych wniesioną przez beneficjenta, w przypadku gdy takiej gwarancji wymaga agencja narodowa, jak określono w arkuszu danych (zob. pkt 4).  </w:t>
      </w:r>
    </w:p>
    <w:p w14:paraId="3A1B4365" w14:textId="77777777" w:rsidR="00805574" w:rsidRPr="00805574" w:rsidRDefault="00805574" w:rsidP="00805574">
      <w:pPr>
        <w:numPr>
          <w:ilvl w:val="0"/>
          <w:numId w:val="10"/>
        </w:num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2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Wysokie koszty podróży: 80% kosztów podróży w najkorzystniejszy ekonomicznie a zarazem efektywny sposób, jeżeli mający zastosowanie wkład jednostkowy nie pokryłby co najmniej 70 % kosztów podróży. Koszty nadzwyczajne związane z wysokimi kosztami podróży zastępują dofinansowanie kosztów podróży. </w:t>
      </w:r>
    </w:p>
    <w:p w14:paraId="42F55507" w14:textId="77777777" w:rsidR="00805574" w:rsidRPr="00805574" w:rsidRDefault="00805574" w:rsidP="00805574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805574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Koszty wiz i koszty związane z otrzymaniem wiz, koszty zezwoleń na pobyt, szczepień i zaświadczeń lekarskich: 100% poniesionych kosztów.</w:t>
      </w:r>
    </w:p>
    <w:p w14:paraId="58CBD77E" w14:textId="77777777" w:rsidR="00805574" w:rsidRPr="00805574" w:rsidRDefault="00805574" w:rsidP="00805574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0F646B52" w14:textId="77777777" w:rsidR="00805574" w:rsidRPr="00805574" w:rsidRDefault="00805574" w:rsidP="00805574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u w:val="single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:u w:val="single"/>
          <w14:ligatures w14:val="none"/>
        </w:rPr>
        <w:t>Dokumenty potwierdzające:</w:t>
      </w:r>
    </w:p>
    <w:p w14:paraId="1A75F55E" w14:textId="77777777" w:rsidR="00805574" w:rsidRPr="00805574" w:rsidRDefault="00805574" w:rsidP="00805574">
      <w:pPr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A52E30D" w14:textId="77777777" w:rsidR="00805574" w:rsidRPr="00805574" w:rsidRDefault="00805574" w:rsidP="0080557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8DD43A4" w14:textId="77777777" w:rsidR="00805574" w:rsidRPr="00805574" w:rsidRDefault="00805574" w:rsidP="0080557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W przypadku gwarancji dotyczącej płatności zaliczkowych: dowód poniesienia kosztów związanych z gwarancją finansową, w którym wyszczególniono nazwę i adres podmiotu udzielającego gwarancji, kwotę i walutę gwarancji oraz datę jej udzielenia oraz który opatrzono datą i podpisem przedstawiciela prawnego podmiotu udzielającego gwarancji. </w:t>
      </w:r>
    </w:p>
    <w:p w14:paraId="7B789CDA" w14:textId="77777777" w:rsidR="00805574" w:rsidRPr="00805574" w:rsidRDefault="00805574" w:rsidP="00805574">
      <w:pPr>
        <w:suppressAutoHyphens/>
        <w:spacing w:after="0" w:line="276" w:lineRule="auto"/>
        <w:ind w:left="1134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D2652D3" w14:textId="77777777" w:rsidR="00805574" w:rsidRPr="00805574" w:rsidRDefault="00805574" w:rsidP="00805574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W przypadku wysokich kosztów podróży:</w:t>
      </w:r>
      <w:r w:rsidRPr="00805574">
        <w:rPr>
          <w:rFonts w:ascii="Segoe UI" w:eastAsia="Calibri" w:hAnsi="Segoe UI" w:cs="Segoe UI"/>
          <w:color w:val="242424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r w:rsidRPr="00805574">
        <w:rPr>
          <w:rFonts w:ascii="Times New Roman" w:eastAsia="Calibri" w:hAnsi="Times New Roman" w:cs="Times New Roman"/>
          <w:kern w:val="0"/>
          <w14:ligatures w14:val="none"/>
        </w:rPr>
        <w:t>dowód opłacenia oraz faktury stanowiące dowód opłacenia powiązanych kosztów, w których to fakturach wyszczególniono nazwę i adres podmiotu wystawiającego fakturę, kwotę i walutę oraz datę wystawienia faktury i trasę podróży</w:t>
      </w:r>
      <w:r w:rsidRPr="00805574">
        <w:rPr>
          <w:rFonts w:ascii="Times New Roman" w:eastAsia="Calibri" w:hAnsi="Times New Roman" w:cs="Times New Roman"/>
          <w:kern w:val="0"/>
          <w:bdr w:val="none" w:sz="0" w:space="0" w:color="auto" w:frame="1"/>
          <w14:ligatures w14:val="none"/>
        </w:rPr>
        <w:t>.</w:t>
      </w:r>
    </w:p>
    <w:p w14:paraId="22445DC4" w14:textId="77777777" w:rsidR="00805574" w:rsidRPr="00805574" w:rsidRDefault="00805574" w:rsidP="0080557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05574">
        <w:rPr>
          <w:rFonts w:ascii="Times New Roman" w:eastAsia="Calibri" w:hAnsi="Times New Roman" w:cs="Times New Roman"/>
          <w:kern w:val="0"/>
          <w14:ligatures w14:val="none"/>
        </w:rPr>
        <w:t>W przypadku kosztów wiz i kosztów związanych z otrzymaniem wiz, kosztów zezwoleń na pobyt, szczepień zaświadczeń lekarskich:</w:t>
      </w:r>
      <w:r w:rsidRPr="00805574">
        <w:rPr>
          <w:rFonts w:ascii="Segoe UI" w:eastAsia="Times New Roman" w:hAnsi="Segoe UI" w:cs="Segoe UI"/>
          <w:color w:val="242424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</w:t>
      </w:r>
      <w:r w:rsidRPr="00805574">
        <w:rPr>
          <w:rFonts w:ascii="Times New Roman" w:eastAsia="Calibri" w:hAnsi="Times New Roman" w:cs="Times New Roman"/>
          <w:kern w:val="0"/>
          <w14:ligatures w14:val="none"/>
        </w:rPr>
        <w:t xml:space="preserve">faktury stanowiące dowód opłacenia powiązanych kosztów, w których to fakturach wyszczególniono nazwę i adres </w:t>
      </w:r>
      <w:proofErr w:type="spellStart"/>
      <w:r w:rsidRPr="00805574">
        <w:rPr>
          <w:rFonts w:ascii="Times New Roman" w:eastAsia="Calibri" w:hAnsi="Times New Roman" w:cs="Times New Roman"/>
          <w:kern w:val="0"/>
          <w14:ligatures w14:val="none"/>
        </w:rPr>
        <w:t>podmiotuwystawiającego</w:t>
      </w:r>
      <w:proofErr w:type="spellEnd"/>
      <w:r w:rsidRPr="00805574">
        <w:rPr>
          <w:rFonts w:ascii="Times New Roman" w:eastAsia="Calibri" w:hAnsi="Times New Roman" w:cs="Times New Roman"/>
          <w:kern w:val="0"/>
          <w14:ligatures w14:val="none"/>
        </w:rPr>
        <w:t xml:space="preserve"> fakturę, kwotę i walutę oraz datę wystawienia faktury </w:t>
      </w:r>
    </w:p>
    <w:p w14:paraId="33CDFE5F" w14:textId="77777777" w:rsidR="00805574" w:rsidRPr="00805574" w:rsidRDefault="00805574" w:rsidP="00805574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14:ligatures w14:val="none"/>
        </w:rPr>
      </w:pPr>
    </w:p>
    <w:p w14:paraId="0A276DB1" w14:textId="77777777" w:rsidR="004C29E0" w:rsidRDefault="004C29E0"/>
    <w:sectPr w:rsidR="004C2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EAD9" w14:textId="77777777" w:rsidR="00EE0B5E" w:rsidRDefault="00EE0B5E" w:rsidP="00F2168D">
      <w:pPr>
        <w:spacing w:after="0" w:line="240" w:lineRule="auto"/>
      </w:pPr>
      <w:r>
        <w:separator/>
      </w:r>
    </w:p>
  </w:endnote>
  <w:endnote w:type="continuationSeparator" w:id="0">
    <w:p w14:paraId="7936F073" w14:textId="77777777" w:rsidR="00EE0B5E" w:rsidRDefault="00EE0B5E" w:rsidP="00F2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55F9" w14:textId="77777777" w:rsidR="00F2168D" w:rsidRDefault="00F216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55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E2A4AA4" w14:textId="14D56BD7" w:rsidR="00F2168D" w:rsidRPr="00F2168D" w:rsidRDefault="00F2168D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2168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68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68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2168D">
          <w:rPr>
            <w:rFonts w:ascii="Times New Roman" w:hAnsi="Times New Roman" w:cs="Times New Roman"/>
            <w:sz w:val="20"/>
            <w:szCs w:val="20"/>
          </w:rPr>
          <w:t>2</w:t>
        </w:r>
        <w:r w:rsidRPr="00F2168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04ABC0B" w14:textId="77777777" w:rsidR="00F2168D" w:rsidRDefault="00F216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8C0D" w14:textId="77777777" w:rsidR="00F2168D" w:rsidRDefault="00F21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194B" w14:textId="77777777" w:rsidR="00EE0B5E" w:rsidRDefault="00EE0B5E" w:rsidP="00F2168D">
      <w:pPr>
        <w:spacing w:after="0" w:line="240" w:lineRule="auto"/>
      </w:pPr>
      <w:r>
        <w:separator/>
      </w:r>
    </w:p>
  </w:footnote>
  <w:footnote w:type="continuationSeparator" w:id="0">
    <w:p w14:paraId="66324211" w14:textId="77777777" w:rsidR="00EE0B5E" w:rsidRDefault="00EE0B5E" w:rsidP="00F2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4C42" w14:textId="77777777" w:rsidR="00F2168D" w:rsidRDefault="00F216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97B1" w14:textId="77777777" w:rsidR="00F2168D" w:rsidRDefault="00F216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07EA" w14:textId="77777777" w:rsidR="00F2168D" w:rsidRDefault="00F216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5AEA46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5"/>
    <w:multiLevelType w:val="multilevel"/>
    <w:tmpl w:val="4FD2A66E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D651290"/>
    <w:multiLevelType w:val="multilevel"/>
    <w:tmpl w:val="F662D8D2"/>
    <w:name w:val="WWNum362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85E1B"/>
    <w:multiLevelType w:val="hybridMultilevel"/>
    <w:tmpl w:val="614E724C"/>
    <w:lvl w:ilvl="0" w:tplc="464EA4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47302"/>
    <w:multiLevelType w:val="hybridMultilevel"/>
    <w:tmpl w:val="5A9EC702"/>
    <w:lvl w:ilvl="0" w:tplc="2244008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7143F"/>
    <w:multiLevelType w:val="hybridMultilevel"/>
    <w:tmpl w:val="02ACEEC6"/>
    <w:lvl w:ilvl="0" w:tplc="AA98FEF0">
      <w:start w:val="1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E4772"/>
    <w:multiLevelType w:val="hybridMultilevel"/>
    <w:tmpl w:val="8AC2C212"/>
    <w:lvl w:ilvl="0" w:tplc="D782143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A2174"/>
    <w:multiLevelType w:val="hybridMultilevel"/>
    <w:tmpl w:val="FB9A0088"/>
    <w:lvl w:ilvl="0" w:tplc="71542A2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6022E"/>
    <w:multiLevelType w:val="hybridMultilevel"/>
    <w:tmpl w:val="8342F19A"/>
    <w:lvl w:ilvl="0" w:tplc="B3EAC1C4">
      <w:start w:val="4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B2B36"/>
    <w:multiLevelType w:val="hybridMultilevel"/>
    <w:tmpl w:val="986ABF0A"/>
    <w:lvl w:ilvl="0" w:tplc="840640A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-1668" w:hanging="360"/>
      </w:pPr>
    </w:lvl>
    <w:lvl w:ilvl="2" w:tplc="0809001B" w:tentative="1">
      <w:start w:val="1"/>
      <w:numFmt w:val="lowerRoman"/>
      <w:lvlText w:val="%3."/>
      <w:lvlJc w:val="right"/>
      <w:pPr>
        <w:ind w:left="-948" w:hanging="180"/>
      </w:pPr>
    </w:lvl>
    <w:lvl w:ilvl="3" w:tplc="0809000F" w:tentative="1">
      <w:start w:val="1"/>
      <w:numFmt w:val="decimal"/>
      <w:lvlText w:val="%4."/>
      <w:lvlJc w:val="left"/>
      <w:pPr>
        <w:ind w:left="-228" w:hanging="360"/>
      </w:pPr>
    </w:lvl>
    <w:lvl w:ilvl="4" w:tplc="08090019" w:tentative="1">
      <w:start w:val="1"/>
      <w:numFmt w:val="lowerLetter"/>
      <w:lvlText w:val="%5."/>
      <w:lvlJc w:val="left"/>
      <w:pPr>
        <w:ind w:left="492" w:hanging="360"/>
      </w:pPr>
    </w:lvl>
    <w:lvl w:ilvl="5" w:tplc="0809001B" w:tentative="1">
      <w:start w:val="1"/>
      <w:numFmt w:val="lowerRoman"/>
      <w:lvlText w:val="%6."/>
      <w:lvlJc w:val="right"/>
      <w:pPr>
        <w:ind w:left="1212" w:hanging="180"/>
      </w:pPr>
    </w:lvl>
    <w:lvl w:ilvl="6" w:tplc="0809000F" w:tentative="1">
      <w:start w:val="1"/>
      <w:numFmt w:val="decimal"/>
      <w:lvlText w:val="%7."/>
      <w:lvlJc w:val="left"/>
      <w:pPr>
        <w:ind w:left="1932" w:hanging="360"/>
      </w:pPr>
    </w:lvl>
    <w:lvl w:ilvl="7" w:tplc="08090019" w:tentative="1">
      <w:start w:val="1"/>
      <w:numFmt w:val="lowerLetter"/>
      <w:lvlText w:val="%8."/>
      <w:lvlJc w:val="left"/>
      <w:pPr>
        <w:ind w:left="2652" w:hanging="360"/>
      </w:pPr>
    </w:lvl>
    <w:lvl w:ilvl="8" w:tplc="0809001B" w:tentative="1">
      <w:start w:val="1"/>
      <w:numFmt w:val="lowerRoman"/>
      <w:lvlText w:val="%9."/>
      <w:lvlJc w:val="right"/>
      <w:pPr>
        <w:ind w:left="3372" w:hanging="180"/>
      </w:pPr>
    </w:lvl>
  </w:abstractNum>
  <w:abstractNum w:abstractNumId="11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8444A9"/>
    <w:multiLevelType w:val="hybridMultilevel"/>
    <w:tmpl w:val="F42E4530"/>
    <w:lvl w:ilvl="0" w:tplc="14BE4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78728">
    <w:abstractNumId w:val="0"/>
  </w:num>
  <w:num w:numId="2" w16cid:durableId="183176739">
    <w:abstractNumId w:val="1"/>
  </w:num>
  <w:num w:numId="3" w16cid:durableId="1997218224">
    <w:abstractNumId w:val="6"/>
  </w:num>
  <w:num w:numId="4" w16cid:durableId="550044609">
    <w:abstractNumId w:val="5"/>
  </w:num>
  <w:num w:numId="5" w16cid:durableId="1112478389">
    <w:abstractNumId w:val="8"/>
  </w:num>
  <w:num w:numId="6" w16cid:durableId="1674986029">
    <w:abstractNumId w:val="10"/>
  </w:num>
  <w:num w:numId="7" w16cid:durableId="1838106904">
    <w:abstractNumId w:val="3"/>
  </w:num>
  <w:num w:numId="8" w16cid:durableId="1829712338">
    <w:abstractNumId w:val="7"/>
  </w:num>
  <w:num w:numId="9" w16cid:durableId="332345726">
    <w:abstractNumId w:val="4"/>
  </w:num>
  <w:num w:numId="10" w16cid:durableId="1715035112">
    <w:abstractNumId w:val="12"/>
  </w:num>
  <w:num w:numId="11" w16cid:durableId="684329498">
    <w:abstractNumId w:val="11"/>
  </w:num>
  <w:num w:numId="12" w16cid:durableId="2140029066">
    <w:abstractNumId w:val="9"/>
  </w:num>
  <w:num w:numId="13" w16cid:durableId="102586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74"/>
    <w:rsid w:val="003C6FA4"/>
    <w:rsid w:val="004C29E0"/>
    <w:rsid w:val="00805574"/>
    <w:rsid w:val="00865926"/>
    <w:rsid w:val="00B82088"/>
    <w:rsid w:val="00EE0B5E"/>
    <w:rsid w:val="00F2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13F4"/>
  <w15:chartTrackingRefBased/>
  <w15:docId w15:val="{9236D758-1B4C-4043-B6A0-B6F4DAF3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5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5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5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5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5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5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5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5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5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5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55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5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574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5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574"/>
    <w:rPr>
      <w:sz w:val="20"/>
      <w:szCs w:val="20"/>
    </w:rPr>
  </w:style>
  <w:style w:type="character" w:styleId="Odwoaniedokomentarza">
    <w:name w:val="annotation reference"/>
    <w:uiPriority w:val="99"/>
    <w:rsid w:val="00805574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68D"/>
  </w:style>
  <w:style w:type="paragraph" w:styleId="Stopka">
    <w:name w:val="footer"/>
    <w:basedOn w:val="Normalny"/>
    <w:link w:val="StopkaZnak"/>
    <w:uiPriority w:val="99"/>
    <w:unhideWhenUsed/>
    <w:rsid w:val="00F2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erasmus-plus/resources/distance-calculator_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2077</Words>
  <Characters>12466</Characters>
  <Application>Microsoft Office Word</Application>
  <DocSecurity>0</DocSecurity>
  <Lines>103</Lines>
  <Paragraphs>29</Paragraphs>
  <ScaleCrop>false</ScaleCrop>
  <Company>Fundacja Rozwoju Systemu Edukacji</Company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2</cp:revision>
  <dcterms:created xsi:type="dcterms:W3CDTF">2026-06-05T12:02:00Z</dcterms:created>
  <dcterms:modified xsi:type="dcterms:W3CDTF">2026-06-10T11:21:00Z</dcterms:modified>
</cp:coreProperties>
</file>