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751" w14:textId="77777777" w:rsidR="00D16B1B" w:rsidRPr="00D16B1B" w:rsidRDefault="00D16B1B" w:rsidP="00D16B1B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D16B1B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–OBOWIĄZUJĄCE PRZEPISY związane z kwalifikowalnością kosztów i WKŁADÓW</w:t>
      </w:r>
    </w:p>
    <w:p w14:paraId="3D8BD09F" w14:textId="77777777" w:rsidR="00D16B1B" w:rsidRPr="00D16B1B" w:rsidRDefault="00D16B1B" w:rsidP="00D16B1B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D16B1B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155</w:t>
      </w:r>
    </w:p>
    <w:p w14:paraId="37CF4791" w14:textId="77777777" w:rsidR="00D16B1B" w:rsidRPr="00D16B1B" w:rsidRDefault="00D16B1B" w:rsidP="00D16B1B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D16B1B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(YOU)</w:t>
      </w:r>
    </w:p>
    <w:p w14:paraId="25F95D6B" w14:textId="77777777" w:rsidR="00D16B1B" w:rsidRPr="00D16B1B" w:rsidRDefault="00D16B1B" w:rsidP="00D16B1B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14:paraId="6A81A03E" w14:textId="77777777" w:rsidR="00D16B1B" w:rsidRPr="00D16B1B" w:rsidRDefault="00D16B1B" w:rsidP="00D16B1B">
      <w:pPr>
        <w:keepNext/>
        <w:keepLines/>
        <w:numPr>
          <w:ilvl w:val="0"/>
          <w:numId w:val="8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Wkłady jednostkowe</w:t>
      </w:r>
    </w:p>
    <w:p w14:paraId="09ED6A94" w14:textId="77777777" w:rsidR="00D16B1B" w:rsidRPr="00D16B1B" w:rsidRDefault="00D16B1B" w:rsidP="00D16B1B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1.1 Koszty podróży</w:t>
      </w:r>
    </w:p>
    <w:p w14:paraId="741E737F" w14:textId="77777777" w:rsidR="00D16B1B" w:rsidRPr="00D16B1B" w:rsidRDefault="00D16B1B" w:rsidP="00D16B1B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D16B1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D16B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F41D722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(tj. wspólne przejazdy samochodem co najmniej dwóch pasażerów, gdzie kierowca dzieli koszty na paliwo wspólnie z pasażerem/pasażerami) i pociąg.</w:t>
      </w:r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 Statek będzie uważany za ekologiczny środek transportu tylko w połączeniu z innym niskoemisyjnym środkiem transportu. 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Agencja narodowa może uznać inne środki transportu za zrównoważone w oparciu o utrwaloną praktykę, indywidualnie dla każdego przypadku. </w:t>
      </w:r>
    </w:p>
    <w:p w14:paraId="2BE700E7" w14:textId="77777777" w:rsidR="00D16B1B" w:rsidRPr="00D16B1B" w:rsidRDefault="00D16B1B" w:rsidP="00D16B1B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Wkład jednostkowy na podróż zrównoważonymi środkami transportu (podróż z wykorzystaniem ekologicznych środków transportu) jest kwalifikowalny, jeżeli co najmniej połowa podróży w obie strony odbyto zrównoważonymi środkami transportu (pod względem przebytej odległości wyrażonej w kilometrach).</w:t>
      </w:r>
    </w:p>
    <w:p w14:paraId="581A77AE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D16B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koszt podróży w obie strony między miejscem wyjazdu a miejscem przyjazdu.</w:t>
      </w:r>
    </w:p>
    <w:p w14:paraId="0A6E3F48" w14:textId="77777777" w:rsidR="00D16B1B" w:rsidRPr="00D16B1B" w:rsidRDefault="00D16B1B" w:rsidP="00D16B1B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b/>
          <w:bCs/>
          <w:kern w:val="0"/>
          <w14:ligatures w14:val="none"/>
        </w:rPr>
        <w:t>Miejsce działania</w:t>
      </w:r>
      <w:r w:rsidRPr="00D16B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t>miejsce, w którym znajduje się organizacja przyjmująca</w:t>
      </w:r>
      <w:r w:rsidRPr="00D16B1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27E644E" w14:textId="77777777" w:rsidR="00D16B1B" w:rsidRPr="00D16B1B" w:rsidRDefault="00D16B1B" w:rsidP="00D16B1B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05DAD231" w14:textId="77777777" w:rsidR="00D16B1B" w:rsidRPr="00D16B1B" w:rsidRDefault="00D16B1B" w:rsidP="00D16B1B">
      <w:pPr>
        <w:spacing w:after="20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14:ligatures w14:val="none"/>
        </w:rPr>
        <w:t>Czas podróży nie będzie brany pod uwagę przy ustalaniu zgodności z minimalnym kwalifikowalnym czasem trwania działań w zakresie mobilności określonym w „Przewodniku po programie”.</w:t>
      </w:r>
    </w:p>
    <w:p w14:paraId="36BE4AB6" w14:textId="77777777" w:rsidR="00D16B1B" w:rsidRPr="00D16B1B" w:rsidRDefault="00D16B1B" w:rsidP="00D16B1B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3D4508B3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Całkowity wkład jednostkowy na </w:t>
      </w:r>
      <w:r w:rsidRPr="00D16B1B">
        <w:rPr>
          <w:rFonts w:ascii="Times New Roman" w:eastAsia="Calibri" w:hAnsi="Times New Roman" w:cs="Times New Roman"/>
          <w14:ligatures w14:val="none"/>
        </w:rPr>
        <w:t>podróż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 oblicza się, mnożąc liczbę uczestników i osób towarzyszących, w danym przedziale odległości przez wkład jednostkowy mający zastosowanie do danego  przedziału odległości i rodzaju podróży (z wykorzystaniem lub bez wykorzystania ekologicznych środków transportu), jak określono w załączniku 3 do umowy.</w:t>
      </w:r>
    </w:p>
    <w:p w14:paraId="1C6B9A0A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W przypadku działań objazdowych całkowity wkład jednostkowy oblicza się, mnożąc liczbę uczestników w danym przedziale odległości odpowiadającym sumie 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odległości między poszczególnymi miejscami przez wkład jednostkowy mający zastosowanie do danego przedziału odległości i rodzaju podróży (z wykorzystaniem  lub bez wykorzystania ekologicznych środków transportu), jak określono w załączniku 3 do umowy.</w:t>
      </w:r>
    </w:p>
    <w:p w14:paraId="67013165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5" w:history="1">
        <w:r w:rsidRPr="00D16B1B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33D0DFA3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6F2031ED" w14:textId="77777777" w:rsidR="00D16B1B" w:rsidRPr="00D16B1B" w:rsidRDefault="00D16B1B" w:rsidP="00D16B1B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Abonament umożliwia podróżowanie przez 7 dni w ciągu jednego miesiąca środkiem transportu o ogólnie najniższej emisji gazów cieplarnianych. Obejmuje on również nową kartę zniżkową </w:t>
      </w:r>
      <w:proofErr w:type="spellStart"/>
      <w:r w:rsidRPr="00D16B1B">
        <w:rPr>
          <w:rFonts w:ascii="Times New Roman" w:eastAsia="Calibri" w:hAnsi="Times New Roman" w:cs="Times New Roman"/>
          <w:kern w:val="0"/>
          <w14:ligatures w14:val="none"/>
        </w:rPr>
        <w:t>DiscoverEU</w:t>
      </w:r>
      <w:proofErr w:type="spellEnd"/>
      <w:r w:rsidRPr="00D16B1B">
        <w:rPr>
          <w:rFonts w:ascii="Times New Roman" w:eastAsia="Calibri" w:hAnsi="Times New Roman" w:cs="Times New Roman"/>
          <w:kern w:val="0"/>
          <w14:ligatures w14:val="none"/>
        </w:rPr>
        <w:t>. Przysługuje jeden bilet na uczestnika i w stosownych przypadkach, na osobę towarzyszącą, korzystającą z tego samego środka transportu co uczestnik.</w:t>
      </w:r>
    </w:p>
    <w:p w14:paraId="41283667" w14:textId="77777777" w:rsidR="00D16B1B" w:rsidRPr="00D16B1B" w:rsidRDefault="00D16B1B" w:rsidP="00D16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en-GB"/>
          <w14:ligatures w14:val="none"/>
        </w:rPr>
      </w:pPr>
      <w:r w:rsidRPr="00D16B1B">
        <w:rPr>
          <w:rFonts w:ascii="Times New Roman" w:eastAsia="Times New Roman" w:hAnsi="Times New Roman" w:cs="Courier New"/>
          <w:kern w:val="0"/>
          <w:szCs w:val="20"/>
          <w:lang w:eastAsia="en-GB"/>
          <w14:ligatures w14:val="none"/>
        </w:rPr>
        <w:t>W przypadkach, w których państwo pochodzenia nie jest bezpośrednio połączone z systemem kolejowym w Europie kontynentalnej i konieczna jest dodatkowa podróż innymi środkami transportu, aby dotrzeć (koleją) do państwa, w którym rozpoczyna się mobilność, wkład jednostkowy może obejmować jedynie ten odcinek podróży do Europy kontynentalnej.</w:t>
      </w:r>
    </w:p>
    <w:p w14:paraId="3EBBD713" w14:textId="77777777" w:rsidR="00D16B1B" w:rsidRPr="00D16B1B" w:rsidRDefault="00D16B1B" w:rsidP="00D16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736BC95" w14:textId="77777777" w:rsidR="00D16B1B" w:rsidRPr="00D16B1B" w:rsidRDefault="00D16B1B" w:rsidP="00D16B1B">
      <w:pPr>
        <w:numPr>
          <w:ilvl w:val="0"/>
          <w:numId w:val="2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19ED8150" w14:textId="77777777" w:rsidR="00D16B1B" w:rsidRPr="00D16B1B" w:rsidRDefault="00D16B1B" w:rsidP="00D16B1B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Podróż kwalifikuje się wtedy, gdy uczestnik faktycznie podjął działanie.</w:t>
      </w:r>
    </w:p>
    <w:p w14:paraId="4786A417" w14:textId="77777777" w:rsidR="00D16B1B" w:rsidRPr="00D16B1B" w:rsidRDefault="00D16B1B" w:rsidP="00D16B1B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351F1E1" w14:textId="77777777" w:rsidR="00D16B1B" w:rsidRPr="00D16B1B" w:rsidRDefault="00D16B1B" w:rsidP="00D16B1B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14:paraId="49B91151" w14:textId="77777777" w:rsidR="00D16B1B" w:rsidRPr="00D16B1B" w:rsidRDefault="00D16B1B" w:rsidP="00D16B1B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</w:p>
    <w:p w14:paraId="5BDA1C54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Dokumentem potwierdzającym jest dowód uczestnictwa w działaniu w formie oświadczenia podpisanego przez uczestnika i osobę towarzyszącą (jeśli dotyczy), w którym wyszczególniono imię i nazwisko uczestnika/osoby towarzyszącej, cel działania, a także daty jego rozpoczęcia i zakończenia. Ewentualnie jest nim dowód uczestnictwa w działaniu w formie świadectwa </w:t>
      </w:r>
      <w:proofErr w:type="spellStart"/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Youthpass</w:t>
      </w:r>
      <w:proofErr w:type="spellEnd"/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, w którym wyszczególniono imię i nazwisko uczestnika, efekty uczenia się, cel działania, a także daty jego rozpoczęcia i zakończenia.</w:t>
      </w:r>
    </w:p>
    <w:p w14:paraId="597D9C6E" w14:textId="77777777" w:rsidR="00D16B1B" w:rsidRPr="00D16B1B" w:rsidRDefault="00D16B1B" w:rsidP="00D16B1B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Ponadto, oprócz dokumentów potwierdzających, w przypadku korzystania ze zrównoważonych środków transportu (podróż z wykorzystaniem ekologicznych środków transportu): dokumentem potwierdzającym będzie oświadczenie podpisane przez osobę otrzymującą dotację na pokrycie kosztów podróży.</w:t>
      </w:r>
    </w:p>
    <w:p w14:paraId="42E7009A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330EE937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5E15B194" w14:textId="77777777" w:rsidR="00D16B1B" w:rsidRPr="00D16B1B" w:rsidRDefault="00D16B1B" w:rsidP="00D16B1B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014A695D" w14:textId="77777777" w:rsidR="00D16B1B" w:rsidRPr="00D16B1B" w:rsidRDefault="00D16B1B" w:rsidP="00D16B1B">
      <w:pPr>
        <w:numPr>
          <w:ilvl w:val="0"/>
          <w:numId w:val="3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1EB8CC29" w14:textId="77777777" w:rsidR="00D16B1B" w:rsidRPr="00D16B1B" w:rsidRDefault="00D16B1B" w:rsidP="00D16B1B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Całkowity wkład jednostkowy oblicza się, mnożąc liczbę dni działania w przeliczeniu na uczestnika i osobę towarzyszącą. </w:t>
      </w:r>
    </w:p>
    <w:p w14:paraId="327CFD4A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liczbę dni w przeliczeniu na uczestnika i osobę towarzyszącą (maksymalnie 21 dni) przez wkład jednostkowy, mający zastosowanie na uczestnika na dzień.</w:t>
      </w:r>
    </w:p>
    <w:p w14:paraId="000DCE4D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Jeżeli uczestnik lub uczestnicy podróżują dłużej niż 21 dni, ale w ciągu 30 dni ważności biletu, dodatkowe dni nie są objęte dofinansowaniem.</w:t>
      </w:r>
    </w:p>
    <w:p w14:paraId="2CB0039A" w14:textId="77777777" w:rsidR="00D16B1B" w:rsidRPr="00D16B1B" w:rsidRDefault="00D16B1B" w:rsidP="00D16B1B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przerwania pobytu okres przerwy nie będzie brany pod uwagę przy obliczaniu dotacji na wsparcie indywidualne. W przypadku przerwy spowodowanej siłą wyższą uczestnik musi mieć możliwość wznowienia i kontynuowania działań po ich przerwaniu (na warunkach określonych w niniejszej umowie).</w:t>
      </w:r>
    </w:p>
    <w:p w14:paraId="7786FFCD" w14:textId="77777777" w:rsidR="00D16B1B" w:rsidRPr="00D16B1B" w:rsidRDefault="00D16B1B" w:rsidP="00D16B1B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11104AEF" w14:textId="77777777" w:rsidR="00D16B1B" w:rsidRPr="00D16B1B" w:rsidRDefault="00D16B1B" w:rsidP="00D16B1B">
      <w:pPr>
        <w:numPr>
          <w:ilvl w:val="0"/>
          <w:numId w:val="3"/>
        </w:numPr>
        <w:tabs>
          <w:tab w:val="left" w:pos="709"/>
        </w:tabs>
        <w:suppressAutoHyphens/>
        <w:spacing w:after="240" w:line="100" w:lineRule="atLeast"/>
        <w:ind w:hanging="21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  </w:t>
      </w: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39175A76" w14:textId="77777777" w:rsidR="00D16B1B" w:rsidRPr="00D16B1B" w:rsidRDefault="00D16B1B" w:rsidP="00D16B1B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14:paraId="4FF63E14" w14:textId="77777777" w:rsidR="00D16B1B" w:rsidRPr="00D16B1B" w:rsidRDefault="00D16B1B" w:rsidP="00D16B1B">
      <w:pPr>
        <w:numPr>
          <w:ilvl w:val="0"/>
          <w:numId w:val="3"/>
        </w:numPr>
        <w:suppressAutoHyphens/>
        <w:spacing w:after="240" w:line="100" w:lineRule="atLeast"/>
        <w:ind w:left="709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34B85D9B" w14:textId="77777777" w:rsidR="00D16B1B" w:rsidRPr="00D16B1B" w:rsidRDefault="00D16B1B" w:rsidP="00D16B1B">
      <w:pPr>
        <w:suppressAutoHyphens/>
        <w:spacing w:after="200" w:line="276" w:lineRule="auto"/>
        <w:ind w:left="142"/>
        <w:jc w:val="both"/>
        <w:rPr>
          <w:rFonts w:ascii="Times New Roman" w:eastAsia="Calibri" w:hAnsi="Times New Roman" w:cs="Times New Roman"/>
          <w:i/>
          <w:color w:val="4AA55B"/>
          <w:kern w:val="0"/>
          <w:szCs w:val="22"/>
          <w:shd w:val="clear" w:color="auto" w:fill="CCFFFF"/>
          <w14:ligatures w14:val="none"/>
        </w:rPr>
      </w:pPr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Dokumentem potwierdzającym jest oświadczenie podpisane przez uczestnika i organizację wysyłającą, w którym wyszczególniono imię i nazwisko uczestnika, cel działania, a także daty jego rozpoczęcia i zakończenia. Ewentualnie jest nim dowód uczestnictwa w działaniu w formie świadectwa </w:t>
      </w:r>
      <w:proofErr w:type="spellStart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Youthpass</w:t>
      </w:r>
      <w:proofErr w:type="spellEnd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, w którym wyszczególniono imię i nazwisko uczestnika, cel działania, a także daty jego rozpoczęcia i zakończenia. </w:t>
      </w:r>
    </w:p>
    <w:p w14:paraId="1FEBE312" w14:textId="77777777" w:rsidR="00D16B1B" w:rsidRPr="00D16B1B" w:rsidRDefault="00D16B1B" w:rsidP="00D16B1B">
      <w:pPr>
        <w:numPr>
          <w:ilvl w:val="0"/>
          <w:numId w:val="3"/>
        </w:numPr>
        <w:suppressAutoHyphens/>
        <w:spacing w:after="240" w:line="100" w:lineRule="atLeast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3772E243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  <w:bookmarkStart w:id="0" w:name="_Hlk116664147"/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Uczestnicy </w:t>
      </w:r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muszą wypełnić standardowy kwestionariusz online udostępniony przez Komisję Europejską (sprawozdanie uczestnika), aby zdać relację z faktów i ocenić działanie w zakresie mobilności, przygotowania do niego i działania następcze. </w:t>
      </w:r>
    </w:p>
    <w:bookmarkEnd w:id="0"/>
    <w:p w14:paraId="4D5EEB12" w14:textId="77777777" w:rsidR="00D16B1B" w:rsidRPr="00D16B1B" w:rsidRDefault="00D16B1B" w:rsidP="00D16B1B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4D6CFD5C" w14:textId="77777777" w:rsidR="00D16B1B" w:rsidRPr="00D16B1B" w:rsidRDefault="00D16B1B" w:rsidP="00D16B1B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69409ADF" w14:textId="77777777" w:rsidR="00D16B1B" w:rsidRPr="00D16B1B" w:rsidRDefault="00D16B1B" w:rsidP="00D16B1B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contextualSpacing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</w:t>
      </w:r>
      <w:r w:rsidRPr="00D16B1B">
        <w:rPr>
          <w:rFonts w:ascii="Segoe UI" w:eastAsia="Aptos" w:hAnsi="Segoe UI" w:cs="Segoe UI"/>
          <w:sz w:val="18"/>
          <w:szCs w:val="18"/>
          <w14:ligatures w14:val="none"/>
        </w:rPr>
        <w:t xml:space="preserve"> 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Osoby towarzyszące nie są uznawane za uczestników działań w zakresie mobilności i nie są zatem brane pod uwagę przy obliczaniu wsparcia organizacyjnego. </w:t>
      </w: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6E823ECA" w14:textId="77777777" w:rsidR="00D16B1B" w:rsidRPr="00D16B1B" w:rsidRDefault="00D16B1B" w:rsidP="00D16B1B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14:paraId="15AFCD29" w14:textId="77777777" w:rsidR="00D16B1B" w:rsidRPr="00D16B1B" w:rsidRDefault="00D16B1B" w:rsidP="00D16B1B">
      <w:pPr>
        <w:numPr>
          <w:ilvl w:val="0"/>
          <w:numId w:val="4"/>
        </w:numPr>
        <w:suppressAutoHyphens/>
        <w:spacing w:after="200" w:line="100" w:lineRule="atLeast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lastRenderedPageBreak/>
        <w:t xml:space="preserve">Dokumenty potwierdzające: </w:t>
      </w:r>
    </w:p>
    <w:p w14:paraId="145E6874" w14:textId="77777777" w:rsidR="00D16B1B" w:rsidRPr="00D16B1B" w:rsidRDefault="00D16B1B" w:rsidP="00D16B1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Dokumentem potwierdzającym jest oświadczenie podpisane przez uczestnika i organizację wysyłającą, w którym wyszczególniono imię i nazwisko uczestnika, cel działania, a także daty jego rozpoczęcia i zakończenia. Ewentualnie jest nim dowód uczestnictwa w działaniu w formie świadectwa </w:t>
      </w:r>
      <w:proofErr w:type="spellStart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Youthpass</w:t>
      </w:r>
      <w:proofErr w:type="spellEnd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, w którym wyszczególniono imię i nazwisko uczestnika, cel działania, a także daty jego rozpoczęcia i zakończenia.</w:t>
      </w:r>
    </w:p>
    <w:p w14:paraId="04D9D35B" w14:textId="77777777" w:rsidR="00D16B1B" w:rsidRPr="00D16B1B" w:rsidDel="00CD2603" w:rsidRDefault="00D16B1B" w:rsidP="00D16B1B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Sprawozdawczość: </w:t>
      </w:r>
    </w:p>
    <w:p w14:paraId="338DF9CA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 </w:t>
      </w:r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Uczestnicy działań powinni złożyć sprawozdanie z podróży w ramach </w:t>
      </w:r>
      <w:proofErr w:type="spellStart"/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>DiscoverEU</w:t>
      </w:r>
      <w:proofErr w:type="spellEnd"/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 z wykorzystaniem kwestionariusza online, w którym przedstawią informacje zwrotne na temat faktycznych i jakościowych elementów okresu działania, a także przygotowania do niego i działań podejmowanych po jego zakończeniu.</w:t>
      </w:r>
    </w:p>
    <w:p w14:paraId="68B488E8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1.4-1.6 </w:t>
      </w:r>
    </w:p>
    <w:p w14:paraId="70F513E8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Nie dotyczy.</w:t>
      </w:r>
    </w:p>
    <w:p w14:paraId="05098D24" w14:textId="77777777" w:rsidR="00D16B1B" w:rsidRPr="00D16B1B" w:rsidRDefault="00D16B1B" w:rsidP="00D16B1B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5A785A3F" w14:textId="77777777" w:rsidR="00D16B1B" w:rsidRPr="00D16B1B" w:rsidRDefault="00D16B1B" w:rsidP="00D16B1B">
      <w:pPr>
        <w:numPr>
          <w:ilvl w:val="0"/>
          <w:numId w:val="5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562AF741" w14:textId="77777777" w:rsidR="00D16B1B" w:rsidRPr="00D16B1B" w:rsidRDefault="00D16B1B" w:rsidP="00D16B1B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495C66AF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 Osób towarzyszących nie uznaje się za uczestników o mniejszych szansach w działaniach w zakresie mobilności i nie bierze się ich pod uwagę przy obliczaniu kwoty dotacji na wsparcie włączenia dla organizacji.</w:t>
      </w:r>
    </w:p>
    <w:p w14:paraId="78DC1AE4" w14:textId="77777777" w:rsidR="00D16B1B" w:rsidRPr="00D16B1B" w:rsidRDefault="00D16B1B" w:rsidP="00D16B1B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F009C6F" w14:textId="77777777" w:rsidR="00D16B1B" w:rsidRPr="00D16B1B" w:rsidRDefault="00D16B1B" w:rsidP="00D16B1B">
      <w:pPr>
        <w:numPr>
          <w:ilvl w:val="0"/>
          <w:numId w:val="5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457E0EB0" w14:textId="77777777" w:rsidR="00D16B1B" w:rsidRPr="00D16B1B" w:rsidRDefault="00D16B1B" w:rsidP="00D16B1B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Wsparcie włączenia dla organizacji wypłaca się tylko wtedy, gdy dany uczestnik faktycznie podjął działanie w określonym czasie</w:t>
      </w:r>
      <w:r w:rsidRPr="00D16B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a organizacja uczestnicząca zorganizowała działania w zakresie mobilności tego uczestnika.</w:t>
      </w:r>
    </w:p>
    <w:p w14:paraId="100650E7" w14:textId="77777777" w:rsidR="00D16B1B" w:rsidRPr="00D16B1B" w:rsidRDefault="00D16B1B" w:rsidP="00D16B1B">
      <w:pPr>
        <w:numPr>
          <w:ilvl w:val="0"/>
          <w:numId w:val="5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5D5A7506" w14:textId="77777777" w:rsidR="00D16B1B" w:rsidRPr="00D16B1B" w:rsidRDefault="00D16B1B" w:rsidP="00D16B1B">
      <w:pPr>
        <w:suppressAutoHyphens/>
        <w:spacing w:after="120" w:line="276" w:lineRule="auto"/>
        <w:jc w:val="both"/>
        <w:rPr>
          <w:rFonts w:ascii="Times New Roman" w:eastAsia="Calibri" w:hAnsi="Times New Roman" w:cs="Arial"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Dokumentem potwierdzającym jest: </w:t>
      </w:r>
      <w:r w:rsidRPr="00D16B1B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oświadczenie podpisane przez organizację wysyłającą, w którym wyszczególniono imię i nazwisko uczestnika, cel działania, a także daty jego rozpoczęcia i zakończenia. </w:t>
      </w:r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 xml:space="preserve">Ewentualnie jest nim dowód uczestnictwa w działaniu w formie świadectwa </w:t>
      </w:r>
      <w:proofErr w:type="spellStart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Youthpass</w:t>
      </w:r>
      <w:proofErr w:type="spellEnd"/>
      <w:r w:rsidRPr="00D16B1B">
        <w:rPr>
          <w:rFonts w:ascii="Times New Roman" w:eastAsia="Calibri" w:hAnsi="Times New Roman" w:cs="Arial"/>
          <w:color w:val="000000"/>
          <w:kern w:val="0"/>
          <w:szCs w:val="22"/>
          <w14:ligatures w14:val="none"/>
        </w:rPr>
        <w:t>, w którym wyszczególniono imię i nazwisko uczestnika, cel działania, a także daty jego rozpoczęcia i zakończenia.</w:t>
      </w:r>
    </w:p>
    <w:p w14:paraId="72484F7A" w14:textId="77777777" w:rsidR="00D16B1B" w:rsidRPr="00D16B1B" w:rsidRDefault="00D16B1B" w:rsidP="00D16B1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Times New Roman"/>
          <w:b/>
          <w:bCs/>
          <w:color w:val="000000"/>
          <w:kern w:val="0"/>
          <w:szCs w:val="22"/>
          <w14:ligatures w14:val="none"/>
        </w:rPr>
        <w:t>1.8-1.10</w:t>
      </w:r>
    </w:p>
    <w:p w14:paraId="5B1DF587" w14:textId="77777777" w:rsidR="00D16B1B" w:rsidRPr="00D16B1B" w:rsidRDefault="00D16B1B" w:rsidP="00D16B1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00FFFF"/>
          <w14:ligatures w14:val="none"/>
        </w:rPr>
      </w:pPr>
      <w:r w:rsidRPr="00D16B1B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Nie dotyczy.</w:t>
      </w:r>
    </w:p>
    <w:p w14:paraId="27611FC6" w14:textId="77777777" w:rsidR="00D16B1B" w:rsidRPr="00D16B1B" w:rsidRDefault="00D16B1B" w:rsidP="00D16B1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kern w:val="0"/>
          <w:shd w:val="clear" w:color="auto" w:fill="00FFFF"/>
          <w14:ligatures w14:val="none"/>
        </w:rPr>
      </w:pPr>
    </w:p>
    <w:p w14:paraId="540CBFB4" w14:textId="77777777" w:rsidR="00D16B1B" w:rsidRPr="00D16B1B" w:rsidRDefault="00D16B1B" w:rsidP="00D16B1B">
      <w:pPr>
        <w:keepNext/>
        <w:keepLines/>
        <w:numPr>
          <w:ilvl w:val="0"/>
          <w:numId w:val="8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lastRenderedPageBreak/>
        <w:t>Koszty rzeczywiste</w:t>
      </w:r>
    </w:p>
    <w:p w14:paraId="08232EE4" w14:textId="77777777" w:rsidR="00D16B1B" w:rsidRPr="00D16B1B" w:rsidRDefault="00D16B1B" w:rsidP="00D16B1B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48CA93C7" w14:textId="77777777" w:rsidR="00D16B1B" w:rsidRPr="00D16B1B" w:rsidRDefault="00D16B1B" w:rsidP="00D16B1B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1E9426EA" w14:textId="77777777" w:rsidR="00D16B1B" w:rsidRPr="00D16B1B" w:rsidRDefault="00D16B1B" w:rsidP="00D16B1B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34A5AEE2" w14:textId="77777777" w:rsidR="00D16B1B" w:rsidRPr="00D16B1B" w:rsidRDefault="00D16B1B" w:rsidP="00D16B1B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5332DFB4" w14:textId="77777777" w:rsidR="00D16B1B" w:rsidRPr="00D16B1B" w:rsidRDefault="00D16B1B" w:rsidP="00D16B1B">
      <w:pPr>
        <w:tabs>
          <w:tab w:val="left" w:pos="0"/>
        </w:tabs>
        <w:suppressAutoHyphens/>
        <w:spacing w:line="276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 osoby.</w:t>
      </w:r>
    </w:p>
    <w:p w14:paraId="61BCE0CB" w14:textId="77777777" w:rsidR="00D16B1B" w:rsidRPr="00D16B1B" w:rsidRDefault="00D16B1B" w:rsidP="00D16B1B">
      <w:pPr>
        <w:numPr>
          <w:ilvl w:val="0"/>
          <w:numId w:val="9"/>
        </w:numPr>
        <w:tabs>
          <w:tab w:val="left" w:pos="709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608B4DF" w14:textId="77777777" w:rsidR="00D16B1B" w:rsidRPr="00D16B1B" w:rsidRDefault="00D16B1B" w:rsidP="00D16B1B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Faktury stanowiąc dowód pokrycia powiązanych kosztów, w których to fakturach wyszczególniono nazwę i adres podmiotu wystawiającego fakturę, kwotę i walutę, datę wystawienia faktury, oraz, w razie potrzeby, dokumentacja podpisana przez organizację przyjmującą określająca potwierdzoną datę rozpoczęcia i zakończenia pobytu osoby towarzyszącej.</w:t>
      </w:r>
    </w:p>
    <w:p w14:paraId="370FA2C8" w14:textId="77777777" w:rsidR="00D16B1B" w:rsidRPr="00D16B1B" w:rsidRDefault="00D16B1B" w:rsidP="00D16B1B">
      <w:pPr>
        <w:numPr>
          <w:ilvl w:val="0"/>
          <w:numId w:val="9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6DE4AF57" w14:textId="77777777" w:rsidR="00D16B1B" w:rsidRPr="00D16B1B" w:rsidRDefault="00D16B1B" w:rsidP="00D16B1B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14:paraId="792790E4" w14:textId="77777777" w:rsidR="00D16B1B" w:rsidRPr="00D16B1B" w:rsidRDefault="00D16B1B" w:rsidP="00D16B1B">
      <w:pPr>
        <w:keepNext/>
        <w:keepLines/>
        <w:numPr>
          <w:ilvl w:val="1"/>
          <w:numId w:val="8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D16B1B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7DEE776E" w14:textId="77777777" w:rsidR="00D16B1B" w:rsidRPr="00D16B1B" w:rsidRDefault="00D16B1B" w:rsidP="00D16B1B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4068B9DC" w14:textId="77777777" w:rsidR="00D16B1B" w:rsidRPr="00D16B1B" w:rsidRDefault="00D16B1B" w:rsidP="00D16B1B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14:paraId="0CAF135A" w14:textId="77777777" w:rsidR="00D16B1B" w:rsidRPr="00D16B1B" w:rsidRDefault="00D16B1B" w:rsidP="00D16B1B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338622C9" w14:textId="77777777" w:rsidR="00D16B1B" w:rsidRPr="00D16B1B" w:rsidRDefault="00D16B1B" w:rsidP="00D16B1B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14:ligatures w14:val="none"/>
        </w:rPr>
        <w:t xml:space="preserve">Gwarancja finansowa: 80% kosztów gwarancji dotyczącej Koszty związane z gwarancją dotyczącą płatności zaliczkowych wniesionej przez beneficjenta, w przypadku, gdy takiej gwarancji wymaga agencja narodowa, jak określono w arkuszu danych (zob. pkt 4).  </w:t>
      </w:r>
    </w:p>
    <w:p w14:paraId="3BF1509C" w14:textId="77777777" w:rsidR="00D16B1B" w:rsidRPr="00D16B1B" w:rsidRDefault="00D16B1B" w:rsidP="00D16B1B">
      <w:pPr>
        <w:numPr>
          <w:ilvl w:val="0"/>
          <w:numId w:val="7"/>
        </w:num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Koszty wiz i koszty związane z otrzymaniem wiz, koszty zezwoleń na pobyt, szczepień i zaświadczeń lekarskich: 100% poniesionych kosztów lekarskich. </w:t>
      </w:r>
    </w:p>
    <w:p w14:paraId="33AE5779" w14:textId="77777777" w:rsidR="00D16B1B" w:rsidRPr="00D16B1B" w:rsidRDefault="00D16B1B" w:rsidP="00D16B1B">
      <w:pPr>
        <w:numPr>
          <w:ilvl w:val="0"/>
          <w:numId w:val="7"/>
        </w:num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100% kosztów rezerwacji w przypadku, gdy nie można podróżować bez obowiązkowej rezerwacji miejsca, w kraju, w którym ta zasada obowiązuje. Koszty te mogą zostać pokryte jako koszty dodatkowe do kosztów biletu. </w:t>
      </w:r>
    </w:p>
    <w:p w14:paraId="53237FAF" w14:textId="2189411A" w:rsidR="00D16B1B" w:rsidRDefault="00D16B1B" w:rsidP="00D16B1B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100% wysokich kosztów podróży uczestników i osób im towarzyszącym wynikających z oddalenia geograficznego lub innych przeszkód (obejmujących korzystanie 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lastRenderedPageBreak/>
        <w:t>z czystszych, niskoemisyjnych środków transportu). Koszty podróży w najkorzystniejszy ekonomicznie a zarazem efektywny sposób, jeżeli wkład jednostkowy nie pokrywa co najmniej 70 % kosztów podróży. Beneficjent musi złożyć do agencji narodowej uzasadniony wniosek o dofinansowanie dotyczący wysokich kosztów podróży jako kosztów nadzwyczajnych, zaś agencja narodowa musi go zatwierdzić. Ewentualne zatwierdzone koszty nadzwyczajne związane z wysokimi kosztami podróży zastępują dotację na pokrycie kosztów podróży bez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16B1B">
        <w:rPr>
          <w:rFonts w:ascii="Times New Roman" w:eastAsia="Calibri" w:hAnsi="Times New Roman" w:cs="Times New Roman"/>
          <w:kern w:val="0"/>
          <w14:ligatures w14:val="none"/>
        </w:rPr>
        <w:t>ekologicznych środków transportu, ale nie zastępują abonamentu.</w:t>
      </w:r>
    </w:p>
    <w:p w14:paraId="0BC4F75F" w14:textId="77777777" w:rsidR="00D16B1B" w:rsidRPr="00D16B1B" w:rsidRDefault="00D16B1B" w:rsidP="00D16B1B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E630DF" w14:textId="77777777" w:rsidR="00D16B1B" w:rsidRPr="00D16B1B" w:rsidRDefault="00D16B1B" w:rsidP="00D16B1B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u w:val="single"/>
          <w14:ligatures w14:val="none"/>
        </w:rPr>
        <w:t>Dokumenty potwierdzające:</w:t>
      </w:r>
    </w:p>
    <w:p w14:paraId="45DCA453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 gwarancją finansową, w którym wyszczególniono nazwę i adres podmiotu udzielającego gwarancji, kwotę i walutę gwarancji oraz datę jej udzielenia oraz który opatrzono datą i podpisem przedstawiciela prawnego podmiotu udzielającego gwarancji. </w:t>
      </w:r>
    </w:p>
    <w:p w14:paraId="3C98CB09" w14:textId="77777777" w:rsidR="00D16B1B" w:rsidRPr="00D16B1B" w:rsidRDefault="00D16B1B" w:rsidP="00D16B1B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CB1EBAA" w14:textId="77777777" w:rsidR="00D16B1B" w:rsidRPr="00D16B1B" w:rsidRDefault="00D16B1B" w:rsidP="00D16B1B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wysokich kosztów podróży: dowód opłacenia oraz faktury stanowiące dowód opłacenia powiązanych kosztów, w których to fakturach wyszczególniono nazwę i adres podmiotu wystawiającego fakturę, kwotę i walutę oraz datę wystawienia faktury i trasę podróży </w:t>
      </w:r>
    </w:p>
    <w:p w14:paraId="60AAB8F7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Ponadto dokumentacja uzasadniająca potrzebę przyznania tej dotacji uczestnikowi podpisana przez organizację wysyłającą, w której to dokumentacji wyszczególniono imię i nazwisko uczestnika, cel działania, a także faktyczne daty jego rozpoczęcia i zakończenia, dokumentacja planowanych rzeczywistych kosztów i dowód ich zatwierdzenia przez agencję narodową.</w:t>
      </w:r>
    </w:p>
    <w:p w14:paraId="1086BE44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C3DE4B6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16B1B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kosztów wiz i kosztów związanych z otrzymaniem wiz, kosztów zezwoleń na pobyt, szczepień i zaświadczeń lekarskich: faktury stanowiące dowód opłacenia powiązanych kosztów, w których to fakturach wyszczególniono nazwę i adres podmiotu wystawiającego fakturę, kwotę i walutę oraz datę wystawienia faktury.</w:t>
      </w:r>
    </w:p>
    <w:p w14:paraId="0D7BE1D4" w14:textId="77777777" w:rsidR="00D16B1B" w:rsidRPr="00D16B1B" w:rsidRDefault="00D16B1B" w:rsidP="00D16B1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4932EF8" w14:textId="1E52A4C5" w:rsidR="00D16B1B" w:rsidRPr="00D16B1B" w:rsidRDefault="00D16B1B" w:rsidP="00D16B1B">
      <w:pPr>
        <w:spacing w:line="259" w:lineRule="auto"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D16B1B">
        <w:rPr>
          <w:rFonts w:ascii="Times New Roman" w:eastAsia="Calibri" w:hAnsi="Times New Roman" w:cs="Arial"/>
          <w:kern w:val="0"/>
          <w14:ligatures w14:val="none"/>
        </w:rPr>
        <w:t>W przypadku kosztów rezerwacji: faktury stanowiące dowód opłacenia powiązanych kosztów, w których to fakturach wyszczególniono nazwę i adres podmiotu wystawiającego fakturę, kwotę i walutę oraz datę wystawienia faktury</w:t>
      </w:r>
      <w:r>
        <w:rPr>
          <w:rFonts w:ascii="Times New Roman" w:eastAsia="Calibri" w:hAnsi="Times New Roman" w:cs="Arial"/>
          <w:kern w:val="0"/>
          <w14:ligatures w14:val="none"/>
        </w:rPr>
        <w:t>.</w:t>
      </w:r>
      <w:r w:rsidRPr="00D16B1B">
        <w:rPr>
          <w:rFonts w:ascii="Times New Roman" w:eastAsia="Calibri" w:hAnsi="Times New Roman" w:cs="Arial"/>
          <w:kern w:val="0"/>
          <w14:ligatures w14:val="none"/>
        </w:rPr>
        <w:t xml:space="preserve"> </w:t>
      </w:r>
    </w:p>
    <w:p w14:paraId="43490880" w14:textId="77777777" w:rsidR="004C29E0" w:rsidRDefault="004C29E0"/>
    <w:sectPr w:rsidR="004C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multilevel"/>
    <w:tmpl w:val="FD821B58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A847302"/>
    <w:multiLevelType w:val="hybridMultilevel"/>
    <w:tmpl w:val="149E3D72"/>
    <w:lvl w:ilvl="0" w:tplc="8D2099BA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1546"/>
    <w:multiLevelType w:val="multilevel"/>
    <w:tmpl w:val="73BA0656"/>
    <w:name w:val="WWNum362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F7267"/>
    <w:multiLevelType w:val="multilevel"/>
    <w:tmpl w:val="7706C79A"/>
    <w:name w:val="WWNum3622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B2B36"/>
    <w:multiLevelType w:val="hybridMultilevel"/>
    <w:tmpl w:val="F8162B08"/>
    <w:lvl w:ilvl="0" w:tplc="235CC66E">
      <w:start w:val="1"/>
      <w:numFmt w:val="lowerLetter"/>
      <w:lvlText w:val="%1)"/>
      <w:lvlJc w:val="left"/>
      <w:pPr>
        <w:ind w:left="108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8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68390">
    <w:abstractNumId w:val="0"/>
  </w:num>
  <w:num w:numId="2" w16cid:durableId="1285767121">
    <w:abstractNumId w:val="3"/>
  </w:num>
  <w:num w:numId="3" w16cid:durableId="1785614769">
    <w:abstractNumId w:val="2"/>
  </w:num>
  <w:num w:numId="4" w16cid:durableId="721825494">
    <w:abstractNumId w:val="5"/>
  </w:num>
  <w:num w:numId="5" w16cid:durableId="169681640">
    <w:abstractNumId w:val="7"/>
  </w:num>
  <w:num w:numId="6" w16cid:durableId="2049451339">
    <w:abstractNumId w:val="1"/>
  </w:num>
  <w:num w:numId="7" w16cid:durableId="1863203166">
    <w:abstractNumId w:val="9"/>
  </w:num>
  <w:num w:numId="8" w16cid:durableId="2121410872">
    <w:abstractNumId w:val="8"/>
  </w:num>
  <w:num w:numId="9" w16cid:durableId="2055234539">
    <w:abstractNumId w:val="4"/>
  </w:num>
  <w:num w:numId="10" w16cid:durableId="184274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1B"/>
    <w:rsid w:val="004C29E0"/>
    <w:rsid w:val="00865926"/>
    <w:rsid w:val="008D613D"/>
    <w:rsid w:val="00D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4FE"/>
  <w15:chartTrackingRefBased/>
  <w15:docId w15:val="{450CB2B6-6BCB-40B7-A211-A98B49F0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B1B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B1B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16B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1920</Words>
  <Characters>11525</Characters>
  <Application>Microsoft Office Word</Application>
  <DocSecurity>0</DocSecurity>
  <Lines>96</Lines>
  <Paragraphs>26</Paragraphs>
  <ScaleCrop>false</ScaleCrop>
  <Company>Fundacja Rozwoju Systemu Edukacji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2026-06-05T12:31:00Z</dcterms:created>
  <dcterms:modified xsi:type="dcterms:W3CDTF">2026-06-05T12:36:00Z</dcterms:modified>
</cp:coreProperties>
</file>