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3"/>
          <w:szCs w:val="23"/>
          <w:lang w:val="pl-PL"/>
        </w:rPr>
      </w:pPr>
      <w:bookmarkStart w:id="0" w:name="_Hlk138594290"/>
      <w:r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>
      <w:pPr>
        <w:pStyle w:val="Normal"/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highlight w:val="yellow"/>
          <w:lang w:val="pl-PL"/>
        </w:rPr>
        <w:t>SCH / VET / ADU</w:t>
      </w:r>
    </w:p>
    <w:p>
      <w:pPr>
        <w:pStyle w:val="Normal"/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</w:r>
    </w:p>
    <w:p>
      <w:pPr>
        <w:pStyle w:val="Normal"/>
        <w:jc w:val="center"/>
        <w:rPr>
          <w:sz w:val="24"/>
          <w:szCs w:val="24"/>
          <w:highlight w:val="lightGray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>
        <w:rPr>
          <w:sz w:val="24"/>
          <w:szCs w:val="24"/>
          <w:highlight w:val="lightGray"/>
          <w:lang w:val="nl-BE"/>
        </w:rPr>
        <w:t>[YYYY-R-NA00-KA000-FFF-000000000]</w:t>
      </w:r>
    </w:p>
    <w:p>
      <w:pPr>
        <w:pStyle w:val="Normal"/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b/>
          <w:bCs/>
          <w:sz w:val="24"/>
          <w:szCs w:val="24"/>
          <w:highlight w:val="cyan"/>
          <w:lang w:val="nl-BE"/>
        </w:rPr>
      </w:r>
      <w:bookmarkEnd w:id="0"/>
    </w:p>
    <w:p>
      <w:pPr>
        <w:pStyle w:val="Normal"/>
        <w:jc w:val="both"/>
        <w:rPr>
          <w:sz w:val="24"/>
          <w:szCs w:val="24"/>
          <w:highlight w:val="yellow"/>
          <w:lang w:val="pl-PL"/>
        </w:rPr>
      </w:pPr>
      <w:r>
        <w:rPr>
          <w:sz w:val="24"/>
          <w:szCs w:val="24"/>
          <w:highlight w:val="yellow"/>
          <w:lang w:val="pl-PL"/>
        </w:rPr>
        <w:t xml:space="preserve">[Niniejszy wzór ma zastosowanie do indywidualnych działań w zakresie mobilności osób uczących się i kadry w dziedzinie Edukacji Szkolnej, Edukacji Dorosłych oraz Kształcenia i Szkolenia Zawodowego. Tekst w kolorze żółtym stanowi wskazówkę dotyczącą korzystania z tego wzoru umowy. Usuń ten tekst po uzupełnieniu dokumentu. Pole w kolorze szarym należy zastąpić danymi odpowiadającymi danej sytuacji faktycznej. Opcje </w:t>
      </w:r>
      <w:r>
        <w:rPr>
          <w:color w:val="00B050"/>
          <w:sz w:val="24"/>
          <w:szCs w:val="24"/>
          <w:highlight w:val="yellow"/>
          <w:lang w:val="pl-PL"/>
        </w:rPr>
        <w:t>[w zielonych nawiasach kwadratowych]</w:t>
      </w:r>
      <w:r>
        <w:rPr>
          <w:sz w:val="24"/>
          <w:szCs w:val="24"/>
          <w:highlight w:val="yellow"/>
          <w:lang w:val="pl-PL"/>
        </w:rPr>
        <w:t xml:space="preserve"> oznaczają, że należy wybrać odpowiednią opcję, a niewybrane opcje należy usunąć.</w:t>
      </w:r>
    </w:p>
    <w:p>
      <w:pPr>
        <w:pStyle w:val="Normal"/>
        <w:jc w:val="both"/>
        <w:rPr>
          <w:sz w:val="24"/>
          <w:szCs w:val="24"/>
          <w:highlight w:val="yellow"/>
          <w:lang w:val="pl-PL"/>
        </w:rPr>
      </w:pPr>
      <w:r>
        <w:rPr>
          <w:sz w:val="24"/>
          <w:szCs w:val="24"/>
          <w:highlight w:val="yellow"/>
          <w:lang w:val="pl-PL"/>
        </w:rPr>
        <w:t>Treść wzoru określa minimalne wymagania, dlatego też nie powinny być usuwane. Szablon ten może zostać rozbudowany przez agencję narodową lub beneficjenta z zachowaniem zasad programu Erasmus+]</w:t>
      </w:r>
    </w:p>
    <w:p>
      <w:pPr>
        <w:pStyle w:val="Normal"/>
        <w:jc w:val="both"/>
        <w:rPr>
          <w:sz w:val="24"/>
          <w:szCs w:val="24"/>
          <w:highlight w:val="yellow"/>
          <w:lang w:val="pl-PL"/>
        </w:rPr>
      </w:pPr>
      <w:r>
        <w:rPr>
          <w:sz w:val="24"/>
          <w:szCs w:val="24"/>
          <w:highlight w:val="yellow"/>
          <w:lang w:val="pl-PL"/>
        </w:rPr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Sektor: </w:t>
      </w:r>
      <w:r>
        <w:rPr>
          <w:sz w:val="24"/>
          <w:szCs w:val="24"/>
          <w:highlight w:val="lightGray"/>
          <w:lang w:val="pl-PL"/>
        </w:rPr>
        <w:t>[</w:t>
      </w:r>
      <w:r>
        <w:rPr>
          <w:sz w:val="24"/>
          <w:szCs w:val="24"/>
          <w:highlight w:val="lightGray"/>
        </w:rPr>
        <w:t>Edukacji Szkolnej / Kształcenia i Szkolenia Zawodowego / Edukacji Dorosłych</w:t>
      </w:r>
      <w:r>
        <w:rPr>
          <w:sz w:val="24"/>
          <w:szCs w:val="24"/>
          <w:highlight w:val="lightGray"/>
          <w:lang w:val="pl-PL"/>
        </w:rPr>
        <w:t>]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Rodzaj działania: </w:t>
      </w:r>
      <w:r>
        <w:rPr>
          <w:sz w:val="24"/>
          <w:szCs w:val="24"/>
          <w:highlight w:val="lightGray"/>
          <w:lang w:val="pl-PL"/>
        </w:rPr>
        <w:t>[należy wpisać odpowiednią nazwę zgodną z Przewodnikiem po programie Erasmus+, np. „Mobilność kadry w celu obserwacji pracy”]</w:t>
      </w:r>
    </w:p>
    <w:p>
      <w:pPr>
        <w:pStyle w:val="Normal"/>
        <w:rPr>
          <w:sz w:val="24"/>
          <w:szCs w:val="24"/>
          <w:lang w:val="pl-PL"/>
        </w:rPr>
      </w:pPr>
      <w:bookmarkStart w:id="1" w:name="_Hlk138594879"/>
      <w:r>
        <w:rPr>
          <w:sz w:val="24"/>
          <w:szCs w:val="24"/>
          <w:lang w:val="pl-PL"/>
        </w:rPr>
        <w:t xml:space="preserve">Numer mobilności w programie Erasmus+: </w:t>
      </w:r>
      <w:r>
        <w:rPr>
          <w:sz w:val="24"/>
          <w:szCs w:val="24"/>
          <w:highlight w:val="lightGray"/>
          <w:lang w:val="pl-PL"/>
        </w:rPr>
        <w:t>[jeżeli dotyczy]</w:t>
      </w:r>
      <w:bookmarkEnd w:id="1"/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Heading6"/>
        <w:keepNext w:val="true"/>
        <w:keepLines/>
        <w:numPr>
          <w:ilvl w:val="0"/>
          <w:numId w:val="0"/>
        </w:numPr>
        <w:tabs>
          <w:tab w:val="left" w:pos="708" w:leader="none"/>
        </w:tabs>
        <w:spacing w:before="0" w:after="0"/>
        <w:ind w:hanging="0" w:start="0"/>
        <w:jc w:val="start"/>
        <w:rPr>
          <w:rFonts w:ascii="Times New Roman Bold" w:hAnsi="Times New Roman Bold"/>
          <w:b/>
          <w:bCs/>
          <w:i w:val="false"/>
          <w:caps/>
          <w:sz w:val="24"/>
          <w:szCs w:val="28"/>
          <w:u w:val="single"/>
          <w:lang w:val="pl-PL" w:eastAsia="en-US"/>
        </w:rPr>
      </w:pPr>
      <w:bookmarkStart w:id="2" w:name="_Hlk138596316"/>
      <w:r>
        <w:rPr>
          <w:rFonts w:ascii="Times New Roman Bold" w:hAnsi="Times New Roman Bold"/>
          <w:b/>
          <w:bCs/>
          <w:i w:val="false"/>
          <w:caps/>
          <w:sz w:val="24"/>
          <w:szCs w:val="28"/>
          <w:u w:val="single"/>
          <w:lang w:val="pl-PL" w:eastAsia="en-US"/>
        </w:rPr>
        <w:t>WSTĘP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Niniejsza </w:t>
      </w:r>
      <w:r>
        <w:rPr>
          <w:b/>
          <w:bCs/>
          <w:sz w:val="24"/>
          <w:szCs w:val="24"/>
        </w:rPr>
        <w:t>umowa</w:t>
      </w:r>
      <w:r>
        <w:rPr>
          <w:sz w:val="24"/>
          <w:szCs w:val="24"/>
        </w:rPr>
        <w:t xml:space="preserve"> zostaje zawarta </w:t>
      </w:r>
      <w:r>
        <w:rPr>
          <w:b/>
          <w:bCs/>
          <w:sz w:val="24"/>
          <w:szCs w:val="24"/>
        </w:rPr>
        <w:t>między</w:t>
      </w:r>
      <w:r>
        <w:rPr>
          <w:sz w:val="24"/>
          <w:szCs w:val="24"/>
        </w:rPr>
        <w:t xml:space="preserve"> następującymi stronami: </w:t>
      </w:r>
      <w:bookmarkEnd w:id="2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 xml:space="preserve">pełna nazwa urzędowa instytucji wysyłającej], 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forma prawna</w:t>
      </w:r>
      <w:r>
        <w:rPr>
          <w:sz w:val="24"/>
          <w:szCs w:val="24"/>
          <w:lang w:val="pl-PL"/>
        </w:rPr>
        <w:t xml:space="preserve">] 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numer w rejestrze</w:t>
      </w:r>
      <w:r>
        <w:rPr>
          <w:sz w:val="24"/>
          <w:szCs w:val="24"/>
          <w:lang w:val="pl-PL"/>
        </w:rPr>
        <w:t xml:space="preserve">] 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pełny adres siedziby</w:t>
      </w:r>
      <w:r>
        <w:rPr>
          <w:sz w:val="24"/>
          <w:szCs w:val="24"/>
          <w:lang w:val="pl-PL"/>
        </w:rPr>
        <w:t xml:space="preserve">] 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E-mail</w:t>
      </w:r>
      <w:r>
        <w:rPr>
          <w:sz w:val="24"/>
          <w:szCs w:val="24"/>
          <w:lang w:val="pl-PL"/>
        </w:rPr>
        <w:t>]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OID</w:t>
      </w:r>
      <w:r>
        <w:rPr>
          <w:sz w:val="24"/>
          <w:szCs w:val="24"/>
          <w:lang w:val="pl-PL"/>
        </w:rPr>
        <w:t>],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highlight w:val="lightGray"/>
          <w:lang w:val="pl-PL"/>
        </w:rPr>
        <w:t>dalej zwany/a “</w:t>
      </w:r>
      <w:r>
        <w:rPr>
          <w:b/>
          <w:bCs/>
          <w:sz w:val="24"/>
          <w:szCs w:val="24"/>
          <w:highlight w:val="lightGray"/>
          <w:lang w:val="pl-PL"/>
        </w:rPr>
        <w:t>Instytucją</w:t>
      </w:r>
      <w:r>
        <w:rPr>
          <w:sz w:val="24"/>
          <w:szCs w:val="24"/>
          <w:highlight w:val="lightGray"/>
          <w:lang w:val="pl-PL"/>
        </w:rPr>
        <w:t>”</w:t>
      </w:r>
      <w:r>
        <w:rPr>
          <w:sz w:val="24"/>
          <w:szCs w:val="24"/>
          <w:lang w:val="pl-PL"/>
        </w:rPr>
        <w:t>(zapewniająca wsparcie w ramach programu Erasmus+)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reprezentowany/ą do celów podpisania niniejszej umowy przez [</w:t>
      </w:r>
      <w:r>
        <w:rPr>
          <w:sz w:val="24"/>
          <w:szCs w:val="24"/>
          <w:highlight w:val="lightGray"/>
          <w:lang w:val="pl-PL"/>
        </w:rPr>
        <w:t>imię, nazwisko i stanowisko</w:t>
      </w:r>
      <w:r>
        <w:rPr>
          <w:sz w:val="24"/>
          <w:szCs w:val="24"/>
          <w:lang w:val="pl-PL"/>
        </w:rPr>
        <w:t xml:space="preserve">] 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3" w:color="000000"/>
        </w:pBd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Pan/Pani [</w:t>
      </w:r>
      <w:r>
        <w:rPr>
          <w:sz w:val="24"/>
          <w:szCs w:val="24"/>
          <w:highlight w:val="lightGray"/>
          <w:lang w:val="pl-PL"/>
        </w:rPr>
        <w:t>imię i nazwisko Uczestnika</w:t>
      </w:r>
      <w:r>
        <w:rPr>
          <w:sz w:val="24"/>
          <w:szCs w:val="24"/>
          <w:lang w:val="pl-PL"/>
        </w:rPr>
        <w:t>]</w:t>
      </w:r>
    </w:p>
    <w:p>
      <w:pPr>
        <w:pStyle w:val="Normal"/>
        <w:tabs>
          <w:tab w:val="clear" w:pos="708"/>
          <w:tab w:val="left" w:pos="3261" w:leader="dot"/>
          <w:tab w:val="left" w:pos="3828" w:leader="none"/>
          <w:tab w:val="left" w:pos="8931" w:leader="dot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Data urodzenia:</w:t>
        <w:tab/>
        <w:tab/>
      </w:r>
    </w:p>
    <w:p>
      <w:pPr>
        <w:pStyle w:val="Normal"/>
        <w:tabs>
          <w:tab w:val="clear" w:pos="708"/>
          <w:tab w:val="left" w:pos="8931" w:leader="dot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Adres zamieszkania: [</w:t>
      </w:r>
      <w:r>
        <w:rPr>
          <w:sz w:val="24"/>
          <w:szCs w:val="24"/>
          <w:highlight w:val="lightGray"/>
          <w:lang w:val="pl-PL"/>
        </w:rPr>
        <w:t>pełny adres</w:t>
      </w:r>
      <w:r>
        <w:rPr>
          <w:sz w:val="24"/>
          <w:szCs w:val="24"/>
          <w:lang w:val="pl-PL"/>
        </w:rPr>
        <w:t xml:space="preserve">] </w:t>
        <w:tab/>
      </w:r>
    </w:p>
    <w:p>
      <w:pPr>
        <w:pStyle w:val="Normal"/>
        <w:tabs>
          <w:tab w:val="clear" w:pos="708"/>
          <w:tab w:val="left" w:pos="8931" w:leader="dot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</w:p>
    <w:p>
      <w:pPr>
        <w:pStyle w:val="Normal"/>
        <w:tabs>
          <w:tab w:val="clear" w:pos="708"/>
          <w:tab w:val="left" w:pos="3261" w:leader="dot"/>
          <w:tab w:val="left" w:pos="3828" w:leader="none"/>
          <w:tab w:val="left" w:pos="8931" w:leader="dot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Telefon:</w:t>
        <w:tab/>
        <w:tab/>
        <w:t xml:space="preserve">E-mail: </w:t>
        <w:tab/>
      </w:r>
    </w:p>
    <w:p>
      <w:pPr>
        <w:pStyle w:val="Normal"/>
        <w:jc w:val="both"/>
        <w:rPr>
          <w:i/>
          <w:color w:val="4AA55B"/>
          <w:sz w:val="24"/>
          <w:szCs w:val="24"/>
          <w:lang w:val="pl-PL"/>
        </w:rPr>
      </w:pPr>
      <w:r>
        <w:rPr>
          <w:i/>
          <w:color w:val="4AA55B"/>
          <w:sz w:val="24"/>
          <w:szCs w:val="24"/>
          <w:lang w:val="pl-PL"/>
        </w:rPr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highlight w:val="yellow"/>
          <w:lang w:val="pl-PL"/>
        </w:rPr>
        <w:t>[Poniższe elementy powinny być zawarte w umowie zawieranej z każdym uczestnikiem otrzymującym wsparcie finansowe z programu Erasmus+, z wyjątkiem uczestników, o których mowa w art. 3.4  Opcja 2]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Numer rachunku bankowego, na który będzie przekazywane wsparcie finansowe </w:t>
      </w:r>
      <w:r>
        <w:rPr>
          <w:sz w:val="24"/>
          <w:szCs w:val="24"/>
          <w:highlight w:val="yellow"/>
          <w:lang w:val="pl-PL"/>
        </w:rPr>
        <w:t>[dotyczy uczestników otrzymujących wsparcie finansowe z programu Erasmus+, z wyjątkiem uczestników, w wypadku których w art. 3.4 zastosowano opcję 2.]:</w:t>
      </w:r>
    </w:p>
    <w:tbl>
      <w:tblPr>
        <w:tblW w:w="899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firstRow="1" w:noVBand="1" w:lastRow="0" w:firstColumn="1" w:lastColumn="0" w:noHBand="0"/>
      </w:tblPr>
      <w:tblGrid>
        <w:gridCol w:w="8992"/>
      </w:tblGrid>
      <w:tr>
        <w:trPr>
          <w:trHeight w:val="2017" w:hRule="atLeast"/>
        </w:trPr>
        <w:tc>
          <w:tcPr>
            <w:tcW w:w="899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tabs>
                <w:tab w:val="clear" w:pos="708"/>
                <w:tab w:val="left" w:pos="8789" w:leader="dot"/>
              </w:tabs>
              <w:ind w:start="142"/>
              <w:jc w:val="bot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Posiadacz rachunku bankowego: [</w:t>
            </w:r>
            <w:r>
              <w:rPr>
                <w:sz w:val="24"/>
                <w:szCs w:val="24"/>
                <w:highlight w:val="yellow"/>
                <w:lang w:val="pl-PL"/>
              </w:rPr>
              <w:t>jeżeli posiadaczem rachunku jest inna osoba niż Uczestnik, wymagane jest przedłożenie stosownego upoważnienia do przekazywania środków na rachunek innej osoby</w:t>
            </w:r>
            <w:r>
              <w:rPr>
                <w:sz w:val="24"/>
                <w:szCs w:val="24"/>
                <w:lang w:val="pl-PL"/>
              </w:rPr>
              <w:t>]</w:t>
              <w:tab/>
            </w:r>
          </w:p>
          <w:p>
            <w:pPr>
              <w:pStyle w:val="Normal"/>
              <w:tabs>
                <w:tab w:val="clear" w:pos="708"/>
                <w:tab w:val="left" w:pos="8789" w:leader="dot"/>
              </w:tabs>
              <w:ind w:start="143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ab/>
            </w:r>
          </w:p>
          <w:p>
            <w:pPr>
              <w:pStyle w:val="Normal"/>
              <w:tabs>
                <w:tab w:val="clear" w:pos="708"/>
                <w:tab w:val="left" w:pos="8789" w:leader="dot"/>
              </w:tabs>
              <w:ind w:start="143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Nazwa banku: </w:t>
              <w:tab/>
            </w:r>
          </w:p>
          <w:p>
            <w:pPr>
              <w:pStyle w:val="Normal"/>
              <w:tabs>
                <w:tab w:val="clear" w:pos="708"/>
                <w:tab w:val="left" w:pos="4395" w:leader="dot"/>
                <w:tab w:val="left" w:pos="5387" w:leader="none"/>
                <w:tab w:val="left" w:pos="8789" w:leader="dot"/>
              </w:tabs>
              <w:ind w:start="143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Numer SWIFT banku: </w:t>
            </w:r>
            <w:r>
              <w:rPr/>
              <w:tab/>
            </w:r>
            <w:r>
              <w:rPr>
                <w:sz w:val="24"/>
                <w:szCs w:val="24"/>
                <w:lang w:val="pl-PL"/>
              </w:rPr>
              <w:t xml:space="preserve"> Waluta ……………….</w:t>
            </w:r>
          </w:p>
          <w:p>
            <w:pPr>
              <w:pStyle w:val="Normal"/>
              <w:tabs>
                <w:tab w:val="clear" w:pos="708"/>
                <w:tab w:val="left" w:pos="8789" w:leader="dot"/>
              </w:tabs>
              <w:ind w:start="143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IBAN – pełen numer rachunku</w:t>
              <w:tab/>
            </w:r>
          </w:p>
        </w:tc>
      </w:tr>
    </w:tbl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dalej zwany/-a „</w:t>
      </w:r>
      <w:r>
        <w:rPr>
          <w:b/>
          <w:bCs/>
          <w:sz w:val="24"/>
          <w:szCs w:val="24"/>
          <w:lang w:val="pl-PL"/>
        </w:rPr>
        <w:t>Uczestnikiem</w:t>
      </w:r>
      <w:r>
        <w:rPr>
          <w:sz w:val="24"/>
          <w:szCs w:val="24"/>
          <w:lang w:val="pl-PL"/>
        </w:rPr>
        <w:t>”.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Strony uzgodniły, że na niniejszą umowę (zwaną dalej „</w:t>
      </w:r>
      <w:r>
        <w:rPr>
          <w:b/>
          <w:bCs/>
          <w:sz w:val="24"/>
          <w:szCs w:val="24"/>
          <w:lang w:val="pl-PL"/>
        </w:rPr>
        <w:t>Umową</w:t>
      </w:r>
      <w:r>
        <w:rPr>
          <w:sz w:val="24"/>
          <w:szCs w:val="24"/>
          <w:lang w:val="pl-PL"/>
        </w:rPr>
        <w:t>”) składają się: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1" w:leader="none"/>
        </w:tabs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Warunki ogólne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701" w:leader="none"/>
        </w:tabs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Załącznik 1: Porozumienie o programie mobilności w programie Erasmus+</w:t>
      </w:r>
      <w:r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>
      <w:pPr>
        <w:pStyle w:val="Normal"/>
        <w:jc w:val="both"/>
        <w:rPr>
          <w:sz w:val="24"/>
          <w:szCs w:val="24"/>
          <w:highlight w:val="cyan"/>
          <w:lang w:val="pl-PL"/>
        </w:rPr>
      </w:pPr>
      <w:r>
        <w:rPr>
          <w:sz w:val="24"/>
          <w:szCs w:val="24"/>
          <w:highlight w:val="cyan"/>
          <w:lang w:val="pl-PL"/>
        </w:rPr>
      </w:r>
    </w:p>
    <w:p>
      <w:pPr>
        <w:pStyle w:val="Normal"/>
        <w:jc w:val="both"/>
        <w:rPr>
          <w:sz w:val="24"/>
          <w:szCs w:val="24"/>
          <w:u w:val="single"/>
          <w:lang w:val="pl-PL"/>
        </w:rPr>
      </w:pPr>
      <w:r>
        <w:rPr>
          <w:sz w:val="24"/>
          <w:szCs w:val="24"/>
          <w:u w:val="single"/>
          <w:lang w:val="pl-PL"/>
        </w:rPr>
        <w:t>Postanowienia zawarte w Warunkach ogólnych będą miały pierwszeństwo przed postanowieniami zawartymi w załączniku.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sz w:val="24"/>
          <w:szCs w:val="24"/>
          <w:highlight w:val="cyan"/>
          <w:lang w:val="pl-PL"/>
        </w:rPr>
      </w:pPr>
      <w:r>
        <w:rPr>
          <w:sz w:val="24"/>
          <w:szCs w:val="24"/>
          <w:highlight w:val="cyan"/>
          <w:lang w:val="pl-PL"/>
        </w:rPr>
      </w:r>
    </w:p>
    <w:p>
      <w:pPr>
        <w:pStyle w:val="Heading6"/>
        <w:keepNext w:val="true"/>
        <w:keepLines/>
        <w:numPr>
          <w:ilvl w:val="0"/>
          <w:numId w:val="0"/>
        </w:numPr>
        <w:tabs>
          <w:tab w:val="left" w:pos="708" w:leader="none"/>
        </w:tabs>
        <w:spacing w:before="0" w:after="0"/>
        <w:ind w:hanging="0" w:start="0"/>
        <w:jc w:val="center"/>
        <w:rPr>
          <w:rFonts w:ascii="Times New Roman Bold" w:hAnsi="Times New Roman Bold"/>
          <w:b/>
          <w:bCs/>
          <w:i w:val="false"/>
          <w:caps/>
          <w:sz w:val="24"/>
          <w:szCs w:val="28"/>
          <w:u w:val="single"/>
          <w:lang w:val="en-GB" w:eastAsia="en-US"/>
        </w:rPr>
      </w:pPr>
      <w:r>
        <w:rPr>
          <w:rFonts w:ascii="Times New Roman Bold" w:hAnsi="Times New Roman Bold"/>
          <w:b/>
          <w:bCs/>
          <w:i w:val="false"/>
          <w:caps/>
          <w:sz w:val="24"/>
          <w:szCs w:val="28"/>
          <w:u w:val="single"/>
          <w:lang w:val="en-GB" w:eastAsia="en-US"/>
        </w:rPr>
        <w:t>Warunki Ogólne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Text1"/>
        <w:pBdr>
          <w:bottom w:val="single" w:sz="6" w:space="1" w:color="000000"/>
        </w:pBdr>
        <w:spacing w:before="0" w:after="0"/>
        <w:ind w:start="0"/>
        <w:jc w:val="start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ARTYKUŁ 1 – CEL UMOWY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Niniejsza Umowa określa prawa i obowiązki oraz warunki mające zastosowanie do wsparcia zapewnionego Uczestnikowi na realizację działań w zakresie mobilności w ramach programu Erasmus+.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Instytucja zapewni Uczestnikowi wsparcie na wyjazd w celu realizacji mobilności w programie Erasmus+. 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Uczestnik akceptuje warunki wsparcia lub zapewnienia usług określone w artykule 3 i zobowiązuje się zrealizować program mobilności uzgodniony w Załączniku 1 w celu zrealizowania mobilności.</w:t>
      </w:r>
    </w:p>
    <w:p>
      <w:pPr>
        <w:pStyle w:val="ListParagraph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Wszelkie zmiany lub uzupełnienia do Umowy będą wnioskowane i uzgadniane przez obie strony w drodze formalnego pisemnego powiadomienia lub za pośrednictwem poczty elektronicznej. Każda zmiana wchodzić będzie w życie w dniu podpisania (lub potwierdzenia) przez stronę przyjmującą. Zmiana staje się skuteczna w dniu wejścia w życie lub w innym dniu określonym w tej zmianie.</w:t>
      </w:r>
    </w:p>
    <w:p>
      <w:pPr>
        <w:pStyle w:val="ListParagraph"/>
        <w:ind w:start="432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6" w:space="1" w:color="000000"/>
        </w:pBd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2 – CZAS TRWANIA I DATA ROZPOCZĘCIA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2.1</w:t>
      </w:r>
      <w:r>
        <w:rPr/>
        <w:tab/>
      </w:r>
      <w:r>
        <w:rPr>
          <w:sz w:val="24"/>
          <w:szCs w:val="24"/>
          <w:lang w:val="pl-PL"/>
        </w:rPr>
        <w:t>Umowa obejmuje okres od [</w:t>
      </w:r>
      <w:r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>] do [</w:t>
      </w:r>
      <w:r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 xml:space="preserve">] </w:t>
      </w:r>
      <w:r>
        <w:rPr>
          <w:sz w:val="24"/>
          <w:szCs w:val="24"/>
          <w:highlight w:val="yellow"/>
          <w:lang w:val="pl-PL"/>
        </w:rPr>
        <w:t>[okres ten obejmuje fizyczne i wirtualne elementy mobilności, jakie wyszczególniono w załączniku, oraz dni podróży</w:t>
      </w:r>
      <w:r>
        <w:rPr>
          <w:sz w:val="24"/>
          <w:szCs w:val="24"/>
          <w:lang w:val="pl-PL"/>
        </w:rPr>
        <w:t xml:space="preserve">] (szczegółowy okres działań znajduje się w Załączniku I do Umowy). </w:t>
      </w:r>
    </w:p>
    <w:p>
      <w:pPr>
        <w:pStyle w:val="Normal"/>
        <w:ind w:hanging="567" w:start="567"/>
        <w:jc w:val="both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Text1"/>
        <w:pBdr>
          <w:bottom w:val="single" w:sz="6" w:space="1" w:color="000000"/>
        </w:pBdr>
        <w:spacing w:before="0" w:after="0"/>
        <w:ind w:start="0"/>
        <w:jc w:val="start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ARTYKUŁ 3 – WSPARCIE FINANSOWE I INNE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3.1</w:t>
        <w:tab/>
        <w:t>Wsparcie będzie obliczone zgodnie z zasadami finansowania zawartymi w Przewodniku po programie Erasmus+ [</w:t>
      </w:r>
      <w:r>
        <w:rPr>
          <w:sz w:val="24"/>
          <w:szCs w:val="24"/>
          <w:highlight w:val="lightGray"/>
          <w:lang w:val="pl-PL"/>
        </w:rPr>
        <w:t>wersja 2026</w:t>
      </w:r>
      <w:r>
        <w:rPr>
          <w:sz w:val="24"/>
          <w:szCs w:val="24"/>
          <w:lang w:val="pl-PL"/>
        </w:rPr>
        <w:t>] i zapewnione w formie określonej w art. 3.4 poniżej.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3.2   Uczestnik otrzyma wsparcie z programu Erasmus+ na następującą liczę dni: </w:t>
      </w:r>
      <w:r>
        <w:rPr>
          <w:sz w:val="24"/>
          <w:szCs w:val="24"/>
          <w:highlight w:val="lightGray"/>
          <w:lang w:val="pl-PL"/>
        </w:rPr>
        <w:t>[…]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highlight w:val="yellow"/>
          <w:lang w:val="pl-PL"/>
        </w:rPr>
        <w:t>[liczba dni mobilności będzie równa okresowi trwania fizycznej mobilności z uwzględnieniem dni podróży. Jeżeli Uczestnik nie otrzymuje wsparcia indywidualnego w ogóle lub otrzymuje częściowe wsparcie, liczba dni jest odpowiednio dostosowana]</w:t>
      </w:r>
      <w:r>
        <w:rPr>
          <w:sz w:val="24"/>
          <w:szCs w:val="24"/>
          <w:lang w:val="pl-PL"/>
        </w:rPr>
        <w:t>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3.3   Uczestnik może złożyć wniosek dotyczący przedłużenia okresu mobilności fizycznej do maksymalnego czasu trwania działania  określonego w „Przewodniku po programie Erasmus+” [</w:t>
      </w:r>
      <w:r>
        <w:rPr>
          <w:sz w:val="24"/>
          <w:szCs w:val="24"/>
          <w:highlight w:val="lightGray"/>
          <w:lang w:val="pl-PL"/>
        </w:rPr>
        <w:t>…</w:t>
      </w:r>
      <w:r>
        <w:rPr>
          <w:sz w:val="24"/>
          <w:szCs w:val="24"/>
          <w:lang w:val="pl-PL"/>
        </w:rPr>
        <w:t>]dni [</w:t>
      </w:r>
      <w:r>
        <w:rPr>
          <w:sz w:val="24"/>
          <w:szCs w:val="24"/>
          <w:highlight w:val="yellow"/>
          <w:lang w:val="pl-PL"/>
        </w:rPr>
        <w:t>do wypełnienia przez beneficjenta zgodnie z zasadami przewodnika po programie Erasmus+</w:t>
      </w:r>
      <w:r>
        <w:rPr>
          <w:sz w:val="24"/>
          <w:szCs w:val="24"/>
          <w:lang w:val="pl-PL"/>
        </w:rPr>
        <w:t>]. Jeżeli Instytucja wyrazi pisemną zgodę na przedłużenie okresu mobilności, Umowa będzie uznana za zmienioną (aneksowaną) w odpowiednim zakresie.</w:t>
      </w:r>
    </w:p>
    <w:p>
      <w:pPr>
        <w:pStyle w:val="Normal"/>
        <w:ind w:hanging="567" w:start="567"/>
        <w:jc w:val="both"/>
        <w:rPr>
          <w:sz w:val="24"/>
          <w:szCs w:val="24"/>
          <w:highlight w:val="yellow"/>
          <w:lang w:val="pl-PL"/>
        </w:rPr>
      </w:pPr>
      <w:r>
        <w:rPr>
          <w:sz w:val="24"/>
          <w:szCs w:val="24"/>
          <w:lang w:val="pl-PL"/>
        </w:rPr>
        <w:t xml:space="preserve">3.4 </w:t>
        <w:tab/>
      </w:r>
      <w:r>
        <w:rPr>
          <w:sz w:val="24"/>
          <w:szCs w:val="24"/>
          <w:highlight w:val="yellow"/>
          <w:lang w:val="pl-PL"/>
        </w:rPr>
        <w:t>[Instytucja wysyłająca wybiera jedną z poniższych opcji adekwatną do przyjętych postanowień]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color w:val="00B050"/>
          <w:sz w:val="24"/>
          <w:szCs w:val="24"/>
          <w:lang w:val="pl-PL"/>
        </w:rPr>
        <w:t>[Opcja 1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Wsparcie finansowe</w:t>
      </w:r>
      <w:r>
        <w:rPr>
          <w:sz w:val="24"/>
          <w:szCs w:val="24"/>
          <w:lang w:val="pl-PL"/>
        </w:rPr>
        <w:t xml:space="preserve">: Uczestnik otrzyma wsparcie w wysokości </w:t>
      </w:r>
      <w:r>
        <w:rPr>
          <w:sz w:val="24"/>
          <w:szCs w:val="24"/>
          <w:highlight w:val="lightGray"/>
          <w:lang w:val="pl-PL"/>
        </w:rPr>
        <w:t>[…]</w:t>
      </w:r>
      <w:r>
        <w:rPr>
          <w:sz w:val="24"/>
          <w:szCs w:val="24"/>
          <w:lang w:val="pl-PL"/>
        </w:rPr>
        <w:t xml:space="preserve"> EUR w formie wypłaty kwoty określonej.</w:t>
      </w:r>
      <w:r>
        <w:rPr>
          <w:color w:val="00B050"/>
          <w:sz w:val="24"/>
          <w:szCs w:val="24"/>
          <w:lang w:val="pl-PL"/>
        </w:rPr>
        <w:t>]</w:t>
      </w:r>
    </w:p>
    <w:p>
      <w:pPr>
        <w:pStyle w:val="Normal"/>
        <w:ind w:hanging="567" w:start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color w:val="00B050"/>
          <w:sz w:val="24"/>
          <w:szCs w:val="24"/>
          <w:lang w:val="pl-PL"/>
        </w:rPr>
        <w:t>[Opcja 2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Wsparcie rzeczowe</w:t>
      </w:r>
      <w:r>
        <w:rPr>
          <w:sz w:val="24"/>
          <w:szCs w:val="24"/>
          <w:lang w:val="pl-PL"/>
        </w:rPr>
        <w:t>: Instytucja wysyłająca zapewni Uczestnikowi wymagane wsparcie w postaci bezpośredniego świadczenia należnych towarów i usług. W takim przypadku instytucja wysyłająca zapewni odpowiedni standard świadczonych usług.</w:t>
      </w:r>
      <w:r>
        <w:rPr>
          <w:color w:val="00B050"/>
          <w:sz w:val="24"/>
          <w:szCs w:val="24"/>
          <w:lang w:val="pl-PL"/>
        </w:rPr>
        <w:t>]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color w:val="00B050"/>
          <w:sz w:val="24"/>
          <w:szCs w:val="24"/>
          <w:lang w:val="pl-PL"/>
        </w:rPr>
        <w:t>[Opcja 3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Łączne wsparcie finansowe i rzeczowe</w:t>
      </w:r>
      <w:r>
        <w:rPr>
          <w:sz w:val="24"/>
          <w:szCs w:val="24"/>
          <w:lang w:val="pl-PL"/>
        </w:rPr>
        <w:t xml:space="preserve">: Uczestnik otrzyma wsparcie w formie wypłaty w wysokości </w:t>
      </w:r>
      <w:r>
        <w:rPr>
          <w:sz w:val="24"/>
          <w:szCs w:val="24"/>
          <w:highlight w:val="lightGray"/>
          <w:lang w:val="pl-PL"/>
        </w:rPr>
        <w:t>[…]</w:t>
      </w:r>
      <w:r>
        <w:rPr>
          <w:sz w:val="24"/>
          <w:szCs w:val="24"/>
          <w:lang w:val="pl-PL"/>
        </w:rPr>
        <w:t xml:space="preserve"> EUR i otrzyma wsparcie w postaci zapewnienia </w:t>
      </w:r>
      <w:r>
        <w:rPr>
          <w:sz w:val="24"/>
          <w:szCs w:val="24"/>
          <w:highlight w:val="lightGray"/>
          <w:lang w:val="pl-PL"/>
        </w:rPr>
        <w:t>[podróży/wsparcia indywidualnego/wsparcia językowego/opłaty za kurs/wsparcia włączenia].</w:t>
      </w:r>
      <w:r>
        <w:rPr>
          <w:sz w:val="24"/>
          <w:szCs w:val="24"/>
          <w:lang w:val="pl-PL"/>
        </w:rPr>
        <w:t xml:space="preserve"> W takim przypadku instytucja wysyłająca zapewni odpowiednie standardy jakości i bezpieczeństwa oferowanych usług</w:t>
      </w:r>
      <w:r>
        <w:rPr>
          <w:color w:val="00B050"/>
          <w:sz w:val="24"/>
          <w:szCs w:val="24"/>
          <w:lang w:val="pl-PL"/>
        </w:rPr>
        <w:t xml:space="preserve">.]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3.5</w:t>
      </w:r>
      <w:r>
        <w:rPr/>
        <w:tab/>
      </w:r>
      <w:r>
        <w:rPr>
          <w:sz w:val="24"/>
          <w:szCs w:val="24"/>
        </w:rPr>
        <w:t>Wsparcie włączenia oraz koszty nadzwyczajne: Jeżeli takie koszty są kwalifikowalne, ich refundacja będzie uzależniona od przedstawienia przez uczestnika wymaganych dokumentów potwierdzających.</w:t>
      </w:r>
      <w:r>
        <w:rPr>
          <w:sz w:val="24"/>
          <w:szCs w:val="24"/>
          <w:lang w:val="pl-PL"/>
        </w:rPr>
        <w:t xml:space="preserve"> </w:t>
      </w:r>
    </w:p>
    <w:p>
      <w:pPr>
        <w:pStyle w:val="Normal"/>
        <w:ind w:hanging="567" w:start="567"/>
        <w:jc w:val="both"/>
        <w:rPr>
          <w:lang w:val="pl-PL"/>
        </w:rPr>
      </w:pPr>
      <w:r>
        <w:rPr>
          <w:lang w:val="pl-PL"/>
        </w:rPr>
      </w:r>
      <w:bookmarkStart w:id="3" w:name="_Hlk137634087"/>
    </w:p>
    <w:p>
      <w:pPr>
        <w:pStyle w:val="Normal"/>
        <w:pBdr>
          <w:bottom w:val="single" w:sz="6" w:space="1" w:color="000000"/>
        </w:pBdr>
        <w:ind w:hanging="567" w:start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4 – UPRAWNIENIE DO WSPARCIA W RAMACH PROGRAMU ERASMUS+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4.1 </w:t>
        <w:tab/>
      </w:r>
      <w:r>
        <w:rPr>
          <w:sz w:val="24"/>
          <w:szCs w:val="24"/>
        </w:rPr>
        <w:t>Uczestnik ma prawo do wsparcia na podstawie art. 3 powyżej, jeśli faktycznie podjął działalność w okresie określonym w art. 2. W przypadku, gdy takie wsparcie opiera się na rzeczywistych kosztach, muszą one być udokumentowane odpowiednimi dowodami, takimi jak faktury, paragony itp.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4.2 </w:t>
        <w:tab/>
        <w:t xml:space="preserve">Wsparcie nie może być wykorzystywane na pokrycie kosztów działań już finansowanych z funduszy UE. Niemniej, jest ono zgodne z każdym innym źródłem finansowania, w tym z wynagrodzeniem, które Uczestnik mógłby otrzymać za staż lub działalność dydaktyczną lub za jakąkolwiek pracę poza działaniami związanymi z mobilnością, o ile wykonywać będzie działania przewidziane w Załączniku 1.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4.3 </w:t>
      </w:r>
      <w:r>
        <w:rPr/>
        <w:tab/>
      </w:r>
      <w:r>
        <w:rPr>
          <w:sz w:val="24"/>
          <w:szCs w:val="24"/>
          <w:lang w:val="pl-PL"/>
        </w:rPr>
        <w:t xml:space="preserve">Uczestnik nie może ubiegać się o zwrot strat z tytułu różnic kursowych lub opłat bankowych naliczonych przez bank Uczestnika za przelewy z instytucji. 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ind w:hanging="567" w:start="567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5 – WARUNKI PŁATNOŚCI</w:t>
      </w:r>
      <w:r>
        <w:rPr>
          <w:sz w:val="24"/>
          <w:szCs w:val="24"/>
          <w:lang w:val="pl-PL"/>
        </w:rPr>
        <w:t xml:space="preserve"> </w:t>
      </w:r>
      <w:bookmarkEnd w:id="3"/>
    </w:p>
    <w:p>
      <w:pPr>
        <w:pStyle w:val="CommentText"/>
        <w:jc w:val="both"/>
        <w:rPr>
          <w:i/>
          <w:iCs/>
          <w:color w:val="00B050"/>
          <w:sz w:val="24"/>
          <w:szCs w:val="24"/>
          <w:lang w:val="pl-PL"/>
        </w:rPr>
      </w:pPr>
      <w:r>
        <w:rPr>
          <w:color w:val="00B050"/>
          <w:sz w:val="24"/>
          <w:szCs w:val="24"/>
          <w:lang w:val="pl-PL"/>
        </w:rPr>
        <w:t xml:space="preserve">[dotyczy jeśli w art. 3.4 wybrano Opcję 1 </w:t>
      </w:r>
      <w:r>
        <w:rPr>
          <w:i/>
          <w:iCs/>
          <w:color w:val="00B050"/>
          <w:sz w:val="24"/>
          <w:szCs w:val="24"/>
          <w:lang w:val="pl-PL"/>
        </w:rPr>
        <w:t xml:space="preserve">(Wsparcie finansowe) </w:t>
      </w:r>
      <w:r>
        <w:rPr>
          <w:color w:val="00B050"/>
          <w:sz w:val="24"/>
          <w:szCs w:val="24"/>
          <w:lang w:val="pl-PL"/>
        </w:rPr>
        <w:t xml:space="preserve">lub 3 </w:t>
      </w:r>
      <w:r>
        <w:rPr>
          <w:i/>
          <w:iCs/>
          <w:color w:val="00B050"/>
          <w:sz w:val="24"/>
          <w:szCs w:val="24"/>
          <w:lang w:val="pl-PL"/>
        </w:rPr>
        <w:t>(Łączne wsparcie finansowe i rzeczowe)</w:t>
      </w:r>
    </w:p>
    <w:p>
      <w:pPr>
        <w:pStyle w:val="CommentText"/>
        <w:ind w:hanging="567" w:start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5.1</w:t>
      </w:r>
      <w:r>
        <w:rPr/>
        <w:tab/>
      </w:r>
      <w:r>
        <w:rPr>
          <w:sz w:val="24"/>
          <w:szCs w:val="24"/>
          <w:lang w:val="pl-PL"/>
        </w:rPr>
        <w:t xml:space="preserve">W terminie 30 dni od dnia podpisania Umowy przez obie strony lub po otrzymaniu przez instytucję wysyłającą potwierdzenia przybycia do instytucji przyjmującej, lecz nie później niż w dniu rozpoczęcia okresu mobilności, jak określono w art. 2.1, będzie zrealizowana płatność zaliczkowa w wysokości </w:t>
      </w:r>
      <w:r>
        <w:rPr>
          <w:sz w:val="24"/>
          <w:szCs w:val="24"/>
          <w:highlight w:val="lightGray"/>
          <w:lang w:val="pl-PL"/>
        </w:rPr>
        <w:t>[</w:t>
      </w:r>
      <w:r>
        <w:rPr>
          <w:color w:val="000000"/>
          <w:sz w:val="24"/>
          <w:szCs w:val="24"/>
          <w:highlight w:val="lightGray"/>
          <w:lang w:val="pl-PL"/>
        </w:rPr>
        <w:t>pomiędzy 50% a 100%</w:t>
      </w:r>
      <w:r>
        <w:rPr>
          <w:sz w:val="24"/>
          <w:szCs w:val="24"/>
          <w:highlight w:val="lightGray"/>
          <w:lang w:val="pl-PL"/>
        </w:rPr>
        <w:t>]</w:t>
      </w:r>
      <w:r>
        <w:rPr>
          <w:sz w:val="24"/>
          <w:szCs w:val="24"/>
          <w:lang w:val="pl-PL"/>
        </w:rPr>
        <w:t xml:space="preserve"> kwoty określonej w art. 3.</w:t>
      </w:r>
      <w:r>
        <w:rPr>
          <w:color w:val="00B050"/>
          <w:sz w:val="24"/>
          <w:szCs w:val="24"/>
          <w:lang w:val="pl-PL"/>
        </w:rPr>
        <w:t xml:space="preserve">] </w:t>
      </w:r>
    </w:p>
    <w:p>
      <w:pPr>
        <w:pStyle w:val="CommentText"/>
        <w:ind w:hanging="567" w:start="567"/>
        <w:jc w:val="both"/>
        <w:rPr>
          <w:color w:val="00B050"/>
          <w:sz w:val="24"/>
          <w:szCs w:val="24"/>
          <w:lang w:val="pl-PL"/>
        </w:rPr>
      </w:pPr>
      <w:r>
        <w:rPr>
          <w:color w:val="00B050"/>
          <w:sz w:val="24"/>
          <w:szCs w:val="24"/>
          <w:lang w:val="pl-PL"/>
        </w:rPr>
      </w:r>
    </w:p>
    <w:p>
      <w:pPr>
        <w:pStyle w:val="CommentText"/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[dotyczy, jeśli płatność określona w art. 5.1 wyniesie mniej, niż 100 % maksymalnej kwoty wparcia finansowego</w:t>
      </w:r>
    </w:p>
    <w:p>
      <w:pPr>
        <w:pStyle w:val="Normal"/>
        <w:ind w:hanging="567" w:start="567"/>
        <w:jc w:val="both"/>
        <w:rPr>
          <w:color w:val="00B050"/>
          <w:sz w:val="24"/>
          <w:szCs w:val="24"/>
          <w:lang w:val="pl-PL"/>
        </w:rPr>
      </w:pPr>
      <w:r>
        <w:rPr>
          <w:lang w:val="pl-PL"/>
        </w:rPr>
        <w:t>5.2</w:t>
        <w:tab/>
      </w:r>
      <w:r>
        <w:rPr>
          <w:sz w:val="24"/>
          <w:szCs w:val="24"/>
          <w:lang w:val="pl-PL"/>
        </w:rPr>
        <w:t xml:space="preserve">Złożenie przez Uczestnika indywidualnego raportu z wyjazdu w systemie </w:t>
      </w:r>
      <w:r>
        <w:rPr>
          <w:i/>
          <w:sz w:val="24"/>
          <w:szCs w:val="24"/>
          <w:lang w:val="pl-PL"/>
        </w:rPr>
        <w:t>EUSurvey</w:t>
      </w:r>
      <w:r>
        <w:rPr>
          <w:sz w:val="24"/>
          <w:szCs w:val="24"/>
          <w:lang w:val="pl-PL"/>
        </w:rPr>
        <w:t xml:space="preserve"> będzie traktowane jako wniosek Uczestnika o płatność pozostałej kwoty wsparcia finansowego. Instytucja ma 45 dni kalendarzowych na wypłatę pozostałej kwoty lub wydanie noty obciążeniowej, jeżeli taki zwrot będzie należny od Uczestnika.</w:t>
      </w:r>
      <w:r>
        <w:rPr>
          <w:color w:val="00B050"/>
          <w:sz w:val="24"/>
          <w:szCs w:val="24"/>
          <w:lang w:val="pl-PL"/>
        </w:rPr>
        <w:t>]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napToGrid w:val="true"/>
        <w:ind w:hanging="567" w:start="567"/>
        <w:jc w:val="both"/>
        <w:rPr>
          <w:i/>
          <w:iCs/>
          <w:color w:val="4AA55B"/>
          <w:sz w:val="24"/>
          <w:szCs w:val="24"/>
          <w:lang w:val="pl-PL"/>
        </w:rPr>
      </w:pPr>
      <w:r>
        <w:rPr>
          <w:i/>
          <w:iCs/>
          <w:color w:val="4AA55B"/>
          <w:sz w:val="24"/>
          <w:szCs w:val="24"/>
          <w:lang w:val="pl-PL"/>
        </w:rPr>
        <w:t>[Opcja jeśli w artykule 3.4 wybrano  Opcję 2 (Wsparcie rzeczowe):</w:t>
      </w:r>
    </w:p>
    <w:p>
      <w:pPr>
        <w:pStyle w:val="Normal"/>
        <w:snapToGrid w:val="true"/>
        <w:ind w:hanging="567" w:start="567"/>
        <w:jc w:val="both"/>
        <w:rPr>
          <w:i/>
          <w:iCs/>
          <w:color w:val="4AA55B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Nie dotyczy.</w:t>
      </w:r>
      <w:r>
        <w:rPr>
          <w:i/>
          <w:iCs/>
          <w:color w:val="4AA55B"/>
          <w:sz w:val="24"/>
          <w:szCs w:val="24"/>
          <w:lang w:val="pl-PL"/>
        </w:rPr>
        <w:t>]</w:t>
      </w:r>
    </w:p>
    <w:p>
      <w:pPr>
        <w:pStyle w:val="Normal"/>
        <w:snapToGrid w:val="true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Web"/>
        <w:spacing w:before="280" w:after="280"/>
        <w:jc w:val="both"/>
        <w:rPr>
          <w:b/>
        </w:rPr>
      </w:pPr>
      <w:r>
        <w:rPr>
          <w:rStyle w:val="Strong"/>
          <w:b w:val="false"/>
          <w:bCs w:val="false"/>
        </w:rPr>
        <w:t>Jeżeli Uczestnik jest uprawniony do otrzymania wsparcia włączeniowego i/lub kosztów nadzwyczajnych, płatność zostanie dokonana w terminie 30 dni kalendarzowych od dnia podpisania Umowy przez obie strony, nie później jednak niż w dniu rozpoczęcia okresu mobilności, pod warunkiem że wymagane dokumenty potwierdzające zostaną przekazane przez Uczestnika w odpowiednim terminie.</w:t>
      </w:r>
    </w:p>
    <w:p>
      <w:pPr>
        <w:pStyle w:val="NormalWeb"/>
        <w:spacing w:before="280" w:after="280"/>
        <w:jc w:val="both"/>
        <w:rPr>
          <w:b/>
        </w:rPr>
      </w:pPr>
      <w:r>
        <w:rPr>
          <w:rStyle w:val="Strong"/>
          <w:b w:val="false"/>
          <w:bCs w:val="false"/>
        </w:rPr>
        <w:t>Jeżeli dokumenty te zostaną przekazane po dacie rozpoczęcia okresu mobilności, płatność powinna zostać dokonana niezwłocznie po ich otrzymaniu, nie później jednak niż w terminie 45 dni kalendarzowych od dnia ich złożenia.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ind w:hanging="567" w:start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6 – ZWROT WSPARCIA FINANSOWEGO</w:t>
      </w:r>
      <w:r>
        <w:rPr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PRZEZ UCZESTNIKA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709" w:star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cs="Times New Roman" w:ascii="Times New Roman" w:hAnsi="Times New Roman"/>
          <w:sz w:val="24"/>
          <w:szCs w:val="24"/>
        </w:rPr>
        <w:t>6.1    Jeśli Uczestnik nie zastosuje się do warunków Umowy albo wypowie Umowę przed jej wygaśnięciem z powodów innych niż wskazane w art. 13.1., zwróci on kwotę już otrzymanego wsparcia finansowego, chyba że uzgodniono inaczej z instytucją. Te ostatnie wymaga zgłoszenia przez instytucję i akceptacji ze strony agencji narodowej.</w:t>
      </w:r>
    </w:p>
    <w:p>
      <w:pPr>
        <w:pStyle w:val="Normal"/>
        <w:pBdr>
          <w:bottom w:val="single" w:sz="6" w:space="1" w:color="000000"/>
        </w:pBdr>
        <w:jc w:val="both"/>
        <w:rPr>
          <w:rFonts w:ascii="Times New Roman Bold" w:hAnsi="Times New Roman Bold"/>
          <w:b/>
          <w:bCs/>
          <w:iCs/>
          <w:caps/>
          <w:sz w:val="24"/>
          <w:szCs w:val="22"/>
          <w:lang w:val="pl-PL" w:eastAsia="en-US"/>
        </w:rPr>
      </w:pPr>
      <w:r>
        <w:rPr>
          <w:rFonts w:ascii="Times New Roman Bold" w:hAnsi="Times New Roman Bold"/>
          <w:b/>
          <w:bCs/>
          <w:iCs/>
          <w:caps/>
          <w:sz w:val="24"/>
          <w:szCs w:val="22"/>
          <w:lang w:val="pl-PL" w:eastAsia="en-US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7 – UBEZPIECZENIE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7.1</w:t>
      </w:r>
      <w:r>
        <w:rPr/>
        <w:tab/>
      </w:r>
      <w:r>
        <w:rPr>
          <w:sz w:val="24"/>
          <w:szCs w:val="24"/>
          <w:lang w:val="pl-PL"/>
        </w:rPr>
        <w:t xml:space="preserve">Instytucja wysyłająca jest zobowiązana upewnić się, że Uczestnik posiada odpowiednie ubezpieczenie przed rozpoczęciem mobilności poprzez zapewnienie ubezpieczenia lub poprzez uzgodnienie z instytucją wskazaną w Załączniku nr 1, że ta ostatnia zapewni ubezpieczenie lub zapewnienie odpowiednich informacji i wsparcia w przypadku samodzielnego ubezpieczenia się przez Uczestnika. </w:t>
      </w:r>
      <w:r>
        <w:rPr>
          <w:sz w:val="24"/>
          <w:szCs w:val="24"/>
          <w:highlight w:val="yellow"/>
          <w:lang w:val="pl-PL"/>
        </w:rPr>
        <w:t>[</w:t>
      </w:r>
      <w:r>
        <w:rPr>
          <w:rStyle w:val="y2iqfc"/>
          <w:sz w:val="24"/>
          <w:szCs w:val="24"/>
          <w:highlight w:val="yellow"/>
        </w:rPr>
        <w:t>W przypadku, gdy instytucja wskazana w Załaczniku, która nie jest organizacją podpisującą niniejszą Umowę, zostanie określona w art. 7.3 jako strona odpowiedzialna, do niniejszej Umowy należy dołączyć odpowiedni dokument określający warunki świadczenia ubezpieczenia i zawierający zgodę tej instytucji. ]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7.2  Ubezpieczenie ma obejmować co najmniej ubezpieczenie zdrowotne, odpowiedzialności cywilnej i następstw nieszczęśliwych wypadków. </w:t>
      </w:r>
      <w:r>
        <w:rPr>
          <w:sz w:val="24"/>
          <w:szCs w:val="24"/>
          <w:highlight w:val="yellow"/>
          <w:lang w:val="pl-PL"/>
        </w:rPr>
        <w:t>[</w:t>
      </w:r>
      <w:r>
        <w:rPr>
          <w:sz w:val="24"/>
          <w:szCs w:val="24"/>
          <w:highlight w:val="yellow"/>
        </w:rPr>
        <w:t>W przypadku mobilności wewnątrz UE krajowe ubezpieczenie zdrowotne uczestnika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 Agencja narodowa</w:t>
      </w:r>
      <w:r>
        <w:rPr>
          <w:rStyle w:val="y2iqfc"/>
          <w:sz w:val="24"/>
          <w:szCs w:val="24"/>
          <w:highlight w:val="yellow"/>
        </w:rPr>
        <w:t xml:space="preserve"> może uzupełnić art. 7.2, jeśli istnieje uzasadnienie dla dostosowania domyślnych wymogów do kontekstu krajowego.]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highlight w:val="yellow"/>
          <w:lang w:val="pl-PL"/>
        </w:rPr>
        <w:t>[Zaleca się zamieszczenie następujących informacji:]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highlight w:val="lightGray"/>
          <w:lang w:val="pl-PL"/>
        </w:rPr>
        <w:t>Ubezpieczyciel/ele, numer polisy, warunki ubezpieczenia]</w:t>
      </w:r>
    </w:p>
    <w:p>
      <w:pPr>
        <w:pStyle w:val="Normal"/>
        <w:ind w:hanging="567" w:start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7.3</w:t>
        <w:tab/>
        <w:t>S</w:t>
      </w:r>
      <w:r>
        <w:rPr>
          <w:rStyle w:val="y2iqfc"/>
          <w:sz w:val="24"/>
          <w:szCs w:val="24"/>
        </w:rPr>
        <w:t xml:space="preserve">troną odpowiedzialną za </w:t>
      </w:r>
      <w:r>
        <w:rPr>
          <w:sz w:val="24"/>
          <w:szCs w:val="24"/>
        </w:rPr>
        <w:t xml:space="preserve">wykupienie ubezpieczenia na czas mobilności </w:t>
      </w:r>
      <w:r>
        <w:rPr>
          <w:rStyle w:val="y2iqfc"/>
          <w:sz w:val="24"/>
          <w:szCs w:val="24"/>
        </w:rPr>
        <w:t xml:space="preserve">jest: </w:t>
      </w:r>
      <w:r>
        <w:rPr>
          <w:rStyle w:val="y2iqfc"/>
          <w:sz w:val="24"/>
          <w:szCs w:val="24"/>
          <w:highlight w:val="lightGray"/>
        </w:rPr>
        <w:t>[instytucja wysyłająca LUB Uczestnik LUB instytucja wskazana w Załączniku]</w:t>
      </w:r>
      <w:r>
        <w:rPr>
          <w:rStyle w:val="y2iqfc"/>
          <w:sz w:val="24"/>
          <w:szCs w:val="24"/>
        </w:rPr>
        <w:t xml:space="preserve"> </w:t>
      </w:r>
      <w:r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 ich zakresem odpowiedzialności]</w:t>
      </w:r>
      <w:r>
        <w:rPr>
          <w:rStyle w:val="y2iqfc"/>
          <w:sz w:val="24"/>
          <w:szCs w:val="24"/>
        </w:rPr>
        <w:t>.</w:t>
      </w:r>
    </w:p>
    <w:p>
      <w:pPr>
        <w:pStyle w:val="Normal"/>
        <w:ind w:hanging="567" w:start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8 – WSPARCIE JĘZYKOWE </w:t>
      </w:r>
    </w:p>
    <w:p>
      <w:pPr>
        <w:pStyle w:val="Normal"/>
        <w:ind w:hanging="567" w:start="567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8.1.  </w:t>
      </w:r>
      <w:r>
        <w:rPr>
          <w:sz w:val="24"/>
          <w:szCs w:val="24"/>
        </w:rPr>
        <w:t>Organizacja musi zapewnić odpowiednie przygotowanie językowe, dostosowane do indywidualnych i zawodowych potrzeb Uczestnika.</w:t>
      </w:r>
    </w:p>
    <w:p>
      <w:pPr>
        <w:pStyle w:val="Normal"/>
        <w:rPr>
          <w:iCs/>
          <w:color w:val="00B050"/>
          <w:sz w:val="24"/>
          <w:szCs w:val="24"/>
          <w:lang w:val="fr-BE"/>
        </w:rPr>
      </w:pPr>
      <w:r>
        <w:rPr>
          <w:iCs/>
          <w:color w:val="00B050"/>
          <w:sz w:val="24"/>
          <w:szCs w:val="24"/>
          <w:lang w:val="fr-BE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bookmarkStart w:id="4" w:name="_Hlk137639609"/>
      <w:r>
        <w:rPr>
          <w:b/>
          <w:bCs/>
          <w:sz w:val="24"/>
          <w:szCs w:val="24"/>
          <w:lang w:val="pl-PL"/>
        </w:rPr>
        <w:t>ARTYKUŁ 9 – INDYWIDUALNY RAPORT UCZESTNIKA Z MOBILNOŚCI</w:t>
      </w:r>
      <w:bookmarkEnd w:id="4"/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9.1.</w:t>
        <w:tab/>
        <w:t xml:space="preserve">Uczestnik wypełni indywidualny raport poprzez </w:t>
      </w:r>
      <w:r>
        <w:rPr>
          <w:i/>
          <w:sz w:val="24"/>
          <w:szCs w:val="24"/>
          <w:lang w:val="pl-PL"/>
        </w:rPr>
        <w:t>on-line EUSurvey</w:t>
      </w:r>
      <w:r>
        <w:rPr>
          <w:sz w:val="24"/>
          <w:szCs w:val="24"/>
          <w:lang w:val="pl-PL"/>
        </w:rPr>
        <w:t xml:space="preserve"> po zakończeniu mobilności, w terminie 30 dni od dnia otrzymania wezwania do jego złożenia. Jeżeli Uczestnik nie złoży indywidualnego raportu, może zostać wezwany przez instytucję do częściowego lub pełnego zwrotu otrzymanego UE.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ind w:hanging="720" w:start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10 - ETYKA I WARTOŚCI </w:t>
      </w:r>
    </w:p>
    <w:p>
      <w:pPr>
        <w:pStyle w:val="HTMLPreformatted"/>
        <w:ind w:hanging="567" w:start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cs="Times New Roman" w:ascii="Times New Roman" w:hAnsi="Times New Roman"/>
          <w:sz w:val="24"/>
          <w:szCs w:val="24"/>
        </w:rPr>
        <w:t>10.1 Działanie związane z mobilnością musi być prowadzone zgodnie z najwyższymi   standardami etycznymi oraz obowiązującym unijnym, międzynarodowym i krajowym prawem.</w:t>
      </w:r>
    </w:p>
    <w:p>
      <w:pPr>
        <w:pStyle w:val="HTMLPreformatted"/>
        <w:ind w:hanging="567" w:start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cs="Times New Roman" w:ascii="Times New Roman" w:hAnsi="Times New Roman"/>
          <w:sz w:val="24"/>
          <w:szCs w:val="24"/>
        </w:rPr>
        <w:t>10.2  Strony muszą zobowiązać się i zapewnić poszanowanie podstawowych wartości UE (takich jak poszanowanie godności ludzkiej, wolności, demokracji, równości, praworządności i praw człowieka, w tym praw mniejszości).</w:t>
      </w:r>
    </w:p>
    <w:p>
      <w:pPr>
        <w:pStyle w:val="HTMLPreformatted"/>
        <w:ind w:hanging="567" w:start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cs="Times New Roman" w:ascii="Times New Roman" w:hAnsi="Times New Roman"/>
          <w:sz w:val="24"/>
          <w:szCs w:val="24"/>
        </w:rPr>
        <w:t>10.3  Jeśli Uczestnik naruszy którykolwiek z obowiązków wynikających z niniejszego artykułu, wsparcie finansowe może zostać zmniejszone lub niewypłacone w ogóle.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jc w:val="both"/>
        <w:rPr>
          <w:rStyle w:val="y2iqfc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11 – OCHRONA DANYCH OSOBOWYCH 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rStyle w:val="y2iqfc"/>
          <w:sz w:val="24"/>
          <w:szCs w:val="24"/>
          <w:lang w:val="pl-PL"/>
        </w:rPr>
        <w:t xml:space="preserve">11.1 </w:t>
      </w:r>
      <w:r>
        <w:rPr>
          <w:sz w:val="24"/>
          <w:szCs w:val="24"/>
          <w:lang w:val="pl-PL"/>
        </w:rPr>
        <w:t>Wszelkie dane osobowe w ramach Umowy przetwarzane są pod nadzorem administratora danych określonego w Informacji dotyczącej prywatności, zgodnie z mającymi zastosowanie przepisami o ochronie danych, w szczególności rozporządzeniem 2018/1725(</w:t>
      </w:r>
      <w:r>
        <w:rPr>
          <w:rStyle w:val="FootnoteReference"/>
          <w:sz w:val="24"/>
          <w:szCs w:val="24"/>
          <w:lang w:val="en-GB"/>
        </w:rPr>
        <w:footnoteReference w:id="3"/>
      </w:r>
      <w:r>
        <w:rPr>
          <w:sz w:val="24"/>
          <w:szCs w:val="24"/>
          <w:lang w:val="pl-PL"/>
        </w:rPr>
        <w:t xml:space="preserve">) i powiązanymi aktami krajowymi w sprawie ochrony danych, oraz w celach określonych w Informacji dotyczącej prywatności dostępnej na stronie: </w:t>
      </w:r>
      <w:hyperlink r:id="rId2">
        <w:r>
          <w:rPr>
            <w:rStyle w:val="Hyperlink"/>
            <w:sz w:val="24"/>
            <w:szCs w:val="24"/>
            <w:lang w:val="pl-PL"/>
          </w:rPr>
          <w:t>https://ec.europa.eu/erasmus-esc-personal-data</w:t>
        </w:r>
      </w:hyperlink>
      <w:r>
        <w:rPr>
          <w:sz w:val="24"/>
          <w:szCs w:val="24"/>
          <w:lang w:val="pl-PL"/>
        </w:rPr>
        <w:t xml:space="preserve">.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11.2     Dane, o których mowa w art. 11.1, będą przetwarzane wyłącznie w związku z realizacją Umowy i upowszechnianiem rezultatów uzyskanych po jej zakończeniu przez instytucję wysyłającą, agencję narodową i Komisję Europejską z uwzględnieniem konieczności przekazywania danych odpowiednim służbom odpowiedzialnym za kontrole i audyt zgodnie z przepisami UE</w:t>
      </w:r>
      <w:r>
        <w:rPr>
          <w:rStyle w:val="FootnoteReference"/>
          <w:sz w:val="24"/>
          <w:szCs w:val="24"/>
          <w:lang w:val="pl-PL"/>
        </w:rPr>
        <w:footnoteReference w:id="4"/>
      </w:r>
      <w:r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11.3. Na pisemny wniosek, Uczestnik może uzyskać dostęp do swoich danych osobowych i poprawić nieprawidłowe lub niekompletne informacje. Wszelkie pytania dotyczące przetwarzania danych osobowych należy kierować do instytucji wysyłającej i/lub Agencji Narodowej. Uczestnik może złożyć skargę dotyczącą przetwarzania danych osobowych do Europejskiego Inspektora Ochrony Danych w odniesieniu do wykorzystania tych danych przez Komisję Europejską.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12 – ZAWIESZENIE UMOWY 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12.1  Umowa może zostać zawieszona z inicjatywy Uczestnika lub Instytucji, jeżeli wyjątkowe okoliczności - w szczególności siła wyższa (zob. art. 16) - uniemożliwiają lub nadmiernie utrudniają jej wykonanie. Zawieszenie wejdzie w życie w dniu uzgodnionym przez strony w drodze pisemnego powiadomienia. Umowa może zostać wznowiona po tym terminie.</w:t>
      </w:r>
    </w:p>
    <w:p>
      <w:pPr>
        <w:pStyle w:val="Normal"/>
        <w:tabs>
          <w:tab w:val="clear" w:pos="708"/>
          <w:tab w:val="left" w:pos="709" w:leader="none"/>
        </w:tabs>
        <w:ind w:hanging="709" w:start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  Każda ze stron może - w dowolnym momencie - zawiesić Umowę, jeżeli druga strona popełniła lub jest podejrzewana o popełnienie: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ab/>
        <w:t xml:space="preserve">a) istotnych błędów, nieprawidłowości lub oszustwa lub </w:t>
      </w:r>
    </w:p>
    <w:p>
      <w:pPr>
        <w:pStyle w:val="Normal"/>
        <w:tabs>
          <w:tab w:val="clear" w:pos="708"/>
          <w:tab w:val="left" w:pos="567" w:leader="none"/>
        </w:tabs>
        <w:ind w:hanging="567" w:start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ab/>
        <w:t>b) poważnego naruszenia zobowiązań wynikających z niniejszej Umowy lub w trakcie  jej obowiązywania (w tym niewłaściwej realizacji działania, przedłożenia nieprawdziwych informacji, nieprzekazania wymaganych informacji, naruszenia zasad etyki (jeśli dotyczy) itp.).</w:t>
      </w:r>
    </w:p>
    <w:p>
      <w:pPr>
        <w:pStyle w:val="Normal"/>
        <w:tabs>
          <w:tab w:val="clear" w:pos="708"/>
          <w:tab w:val="left" w:pos="851" w:leader="none"/>
        </w:tabs>
        <w:ind w:hanging="709" w:start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12.3   Gdy okoliczności pozwolą na wznowienie realizacji, strony muszą niezwłocznie uzgodnić datę wznowienia (jeden dzień po dacie zakończenia zawieszenia).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      W okresie zawieszenia Uczestnikowi nie zostanie wypłacone żadne wsparcie finansowe.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12.5     Uczestnik nie może domagać się odszkodowania z powodu zawieszenia przez Instytucję.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12.6     Zawieszenie nie ma wpływu na prawo Instytucji do zawieszenia Umowy (zob. art. 14).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color w:val="FF0000"/>
          <w:sz w:val="24"/>
          <w:szCs w:val="24"/>
          <w:lang w:val="pl-PL"/>
        </w:rPr>
      </w:pPr>
      <w:r>
        <w:rPr>
          <w:color w:val="FF0000"/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5" w:name="_Hlk137640256"/>
      <w:r>
        <w:rPr>
          <w:b/>
          <w:bCs/>
          <w:sz w:val="24"/>
          <w:szCs w:val="24"/>
          <w:u w:val="single"/>
          <w:lang w:val="pl-PL"/>
        </w:rPr>
        <w:t xml:space="preserve">ARTYKUŁ 13 – ROZWIĄZANIE UMOWY_____________________________________  </w:t>
      </w:r>
      <w:bookmarkEnd w:id="5"/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13.1 Umowa może zostać rozwiązana przez każdą ze stron w przypadku zaistnienia okoliczności, które czynią jej wykonanie niewykonalnym, niemożliwym lub nadmiernie utrudnionym.</w:t>
      </w:r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13.2 W przypadku takiego rozwiązania Umowy Uczestnik będzie uprawniony do otrzymania co najmniej kwoty wsparcia finansowego odpowiadającej rzeczywistemu czasowi trwania okresu aktywności. Uczestnik będzie musiał zwrócić wszelkie pozostałe środki.</w:t>
      </w:r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13.3 W przypadku poważnego naruszenia obowiązków lub jeśli któraś ze stron dopuści się nieprawidłowości, oszustwa, korupcji lub będzie zaangażowana w działalność organizacji przestępczej, pranie pieniędzy, przestępstwa związane z terroryzmem (w tym finansowanie terroryzmu), pracę dzieci lub handel ludźmi, druga strona może rozwiązać Umowę poprzez formalne powiadomienie drugiej strony.</w:t>
      </w:r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13.4  Instytucja zastrzega sobie prawo do wszczęcia postępowania sądowego, jeśli jakikolwiek wnioskowany i należycie uzasadniony zwrot kosztów nie zostanie dobrowolnie dokonany w terminie podanym do wiadomości Uczestnika listem poleconym.</w:t>
      </w:r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13.5 Rozwiązanie Umowy musi zostać formalnie zgłoszone i wejdzie ono w życie w dniu określonym w powiadomieniu jako „data rozwiązania Umowy”.</w:t>
      </w:r>
    </w:p>
    <w:p>
      <w:pPr>
        <w:pStyle w:val="Normal"/>
        <w:pBdr>
          <w:bottom w:val="single" w:sz="6" w:space="1" w:color="000000"/>
        </w:pBdr>
        <w:ind w:hanging="567" w:start="567"/>
        <w:jc w:val="both"/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13.6 Uczestnik nie może domagać się odszkodowania z tytułu rozwiązania Umowy przez Instytucję.</w:t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14 – KONTROLE I AUDYTY 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14.1</w:t>
        <w:tab/>
        <w:t>Strony Umowy zobowiązują się przedstawić wszelkie szczegółowe informacje wymagane przez Komisję Europejską, polską agencję narodową lub każdy inny organ zewnętrzny upoważniony przez Komisję Europejską lub polską agencję narodową w celu weryfikacji, że okres mobilności i postanowienia Umowy są realizowane we właściwy sposób.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14.2.</w:t>
        <w:tab/>
        <w:t>Wszelkie ustalenia związane z Umową mogą prowadzić do podjęcia środków określonych w art. 6 lub dalszych działań prawnych zgodnie z obowiązującym prawem krajowym.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pBdr>
          <w:bottom w:val="single" w:sz="6" w:space="1" w:color="000000"/>
        </w:pBdr>
        <w:jc w:val="both"/>
        <w:rPr>
          <w:b/>
          <w:bCs/>
          <w:sz w:val="24"/>
          <w:szCs w:val="24"/>
          <w:lang w:val="pl-PL"/>
        </w:rPr>
      </w:pPr>
      <w:r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ARTYKUŁ 15 – SZKODY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15.1 </w:t>
        <w:tab/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15.2</w:t>
        <w:tab/>
        <w:t xml:space="preserve">Polska agencja narodowa, Komisja Europejska lub ich personel nie będą ponosić odpowiedzialności w przypadku roszczeń powstałych z tytułu realizacji Umowy dotyczących jakichkolwiek szkód spowodowanych podczas realizacji okresu mobilności. W rezultacie, polska agencja narodowa lub Komisja Europejska nie będą rozpatrywać jakichkolwiek wniosków o odszkodowanie lub zwrot towarzyszących takiemu roszczeniu. 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ind w:hanging="567" w:start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16 – SIŁA WYŻSZA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16.1</w:t>
        <w:tab/>
        <w:t xml:space="preserve">Strona, której siła wyższa uniemożliwia wypełnienie zobowiązań wynikających z Umowy, nie może zostać uznana za naruszającą te zobowiązania.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16.2  „Siła wyższa” oznacza każdą sytuację lub zdarzenie, które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uniemożliwia którejkolwiek ze stron wypełnienie zobowiązań wynikających z Umowy, 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była nieprzewidywalna, wyjątkowa i poza kontrolą stron,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nie była spowodowana błędem lub zaniedbaniem z ich strony (lub ze strony innych podmiotów uczestniczących w działaniu), oraz</w:t>
      </w:r>
    </w:p>
    <w:p>
      <w:pPr>
        <w:pStyle w:val="Normal"/>
        <w:ind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okazała się nieunikniona pomimo dołożenia należytej staranności.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16.3 Każda sytuacja stanowiąca siłę wyższą musi zostać niezwłocznie formalnie (pisemnie) zgłoszona drugiej stronie, określając jej charakter, prawdopodobny czas trwania i przewidywalne skutki. 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ind w:hanging="567" w:start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17 – PRAWO WŁAŚCIWE I JURYSDYKCJA SĄDOWA</w:t>
      </w:r>
    </w:p>
    <w:p>
      <w:pPr>
        <w:pStyle w:val="Normal"/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17.1</w:t>
        <w:tab/>
        <w:t>Umowa podlega prawu polskiemu.</w:t>
      </w:r>
    </w:p>
    <w:p>
      <w:pPr>
        <w:pStyle w:val="Normal"/>
        <w:ind w:hanging="567" w:start="567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17.2</w:t>
        <w:tab/>
        <w:t>W wypadku sporu między instytucją wysyłającą, a Uczestnikiem co do interpretacji, realizacji lub ważności Umowy – jeżeli nie będzie mógł być rozstrzygnięty polubownie – wyłączna kompetencja rozstrzygnięcia sporu leży w gestii właściwego sądu powszechnego.</w:t>
      </w:r>
    </w:p>
    <w:p>
      <w:pPr>
        <w:pStyle w:val="Normal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pBdr>
          <w:bottom w:val="single" w:sz="6" w:space="1" w:color="000000"/>
        </w:pBdr>
        <w:snapToGrid w:val="true"/>
        <w:ind w:hanging="567" w:start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 – WEJŚCIE W ŻYCIE</w:t>
      </w:r>
    </w:p>
    <w:p>
      <w:pPr>
        <w:pStyle w:val="Normal"/>
        <w:jc w:val="both"/>
        <w:rPr>
          <w:b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 xml:space="preserve">Umowa wchodzi w życie </w:t>
      </w:r>
      <w:r>
        <w:rPr>
          <w:bCs/>
          <w:sz w:val="24"/>
          <w:szCs w:val="24"/>
        </w:rPr>
        <w:t>w dniu podpisania przez Instytucję lub Uczestnika, w zależności od tego, co nastąpi później.</w:t>
      </w:r>
    </w:p>
    <w:p>
      <w:pPr>
        <w:pStyle w:val="Normal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ind w:hanging="5812" w:start="5812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PODPISY</w:t>
      </w:r>
    </w:p>
    <w:p>
      <w:pPr>
        <w:pStyle w:val="Normal"/>
        <w:ind w:hanging="5812" w:start="581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 Uczestnika</w:t>
        <w:tab/>
        <w:t xml:space="preserve">Za Instytucję </w:t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highlight w:val="lightGray"/>
          <w:lang w:val="pl-PL"/>
        </w:rPr>
        <w:t>[imię i nazwisko</w:t>
      </w:r>
      <w:r>
        <w:rPr>
          <w:sz w:val="24"/>
          <w:szCs w:val="24"/>
          <w:lang w:val="pl-PL"/>
        </w:rPr>
        <w:t>]</w:t>
        <w:tab/>
      </w:r>
      <w:r>
        <w:rPr>
          <w:sz w:val="24"/>
          <w:szCs w:val="24"/>
          <w:highlight w:val="lightGray"/>
          <w:lang w:val="pl-PL"/>
        </w:rPr>
        <w:t>[imię i nazwisko, stanowisko]</w:t>
      </w:r>
    </w:p>
    <w:p>
      <w:pPr>
        <w:pStyle w:val="Normal"/>
        <w:tabs>
          <w:tab w:val="clear" w:pos="708"/>
          <w:tab w:val="left" w:pos="5670" w:leader="none"/>
        </w:tabs>
        <w:ind w:hanging="5812" w:start="581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ind w:hanging="5812" w:start="581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ind w:hanging="5812" w:start="5812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  <w:highlight w:val="lightGray"/>
        </w:rPr>
        <w:t>podpis</w:t>
      </w:r>
      <w:r>
        <w:rPr>
          <w:sz w:val="24"/>
          <w:szCs w:val="24"/>
        </w:rPr>
        <w:t>]</w:t>
      </w:r>
      <w:r>
        <w:rPr/>
        <w:tab/>
      </w:r>
      <w:r>
        <w:rPr>
          <w:sz w:val="24"/>
          <w:szCs w:val="24"/>
        </w:rPr>
        <w:t>[</w:t>
      </w:r>
      <w:r>
        <w:rPr>
          <w:sz w:val="24"/>
          <w:szCs w:val="24"/>
          <w:highlight w:val="lightGray"/>
        </w:rPr>
        <w:t>pieczęć i podpis</w:t>
      </w:r>
      <w:r>
        <w:rPr>
          <w:sz w:val="24"/>
          <w:szCs w:val="24"/>
        </w:rPr>
        <w:t>]</w:t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>
        <w:rPr>
          <w:sz w:val="24"/>
          <w:szCs w:val="24"/>
          <w:highlight w:val="lightGray"/>
          <w:lang w:val="pl-PL"/>
        </w:rPr>
        <w:t>miejscowość</w:t>
      </w:r>
      <w:r>
        <w:rPr>
          <w:sz w:val="24"/>
          <w:szCs w:val="24"/>
          <w:lang w:val="pl-PL"/>
        </w:rPr>
        <w:t>], [</w:t>
      </w:r>
      <w:r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>]</w:t>
        <w:tab/>
        <w:t>[</w:t>
      </w:r>
      <w:r>
        <w:rPr>
          <w:sz w:val="24"/>
          <w:szCs w:val="24"/>
          <w:highlight w:val="lightGray"/>
          <w:lang w:val="pl-PL"/>
        </w:rPr>
        <w:t>miejscowość</w:t>
      </w:r>
      <w:r>
        <w:rPr>
          <w:sz w:val="24"/>
          <w:szCs w:val="24"/>
          <w:lang w:val="pl-PL"/>
        </w:rPr>
        <w:t>], [</w:t>
      </w:r>
      <w:r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>]</w:t>
      </w:r>
    </w:p>
    <w:p>
      <w:pPr>
        <w:pStyle w:val="Normal"/>
        <w:tabs>
          <w:tab w:val="clear" w:pos="708"/>
          <w:tab w:val="left" w:pos="567" w:leader="none"/>
        </w:tabs>
        <w:ind w:hanging="567" w:star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Załącznik 1</w:t>
      </w:r>
    </w:p>
    <w:p>
      <w:pPr>
        <w:pStyle w:val="Normal"/>
        <w:tabs>
          <w:tab w:val="clear" w:pos="708"/>
          <w:tab w:val="left" w:pos="1701" w:leader="none"/>
        </w:tabs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1701" w:leader="none"/>
        </w:tabs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Porozumienie o programie mobilności </w:t>
        <w:br/>
        <w:t>w programie Erasmus+</w:t>
      </w:r>
    </w:p>
    <w:p>
      <w:pPr>
        <w:pStyle w:val="Normal"/>
        <w:tabs>
          <w:tab w:val="clear" w:pos="708"/>
          <w:tab w:val="left" w:pos="5670" w:leader="none"/>
        </w:tabs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rPr>
          <w:lang w:val="pl-PL"/>
        </w:rPr>
      </w:pPr>
      <w:r>
        <w:rPr>
          <w:lang w:val="pl-PL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[Beneficjent może sporządzić porozumienie o programie mobilności lub skorzystać ze wzoru dostarczonego przez Komisję Europejską lub agencję narodową]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cs="Times New Roman" w:ascii="Times New Roman" w:hAnsi="Times New Roman"/>
          <w:sz w:val="22"/>
          <w:szCs w:val="22"/>
          <w:highlight w:val="yellow"/>
        </w:rPr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Każde porozumienie o programie mobilności musi zawierać co najmniej następujące elementy: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Porozumienie o programie mobilności, które jest uzgadniane i podpisywane przez trzy strony: Uczestnika (jego rodziców lub opiekunów prawnych), instytucję wysyłającą i instytucję przyjmującą;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Informacje o mobilności edukacyjnej, w tym: dziedzinę kształcenia, rodzaj działania, tryb (fizyczny, wirtualny lub mieszany), datę rozpoczęcia i zakończenia mobilności;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Informacje na temat programu uczenia się właściwego dla Uczestnika w instytucji wysyłającej (w przypadku uczniów) lub pracy (w przypadku pracowników);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Listę i opis oczekiwanych efektów uczenia się;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Program uczenia się i zadania Uczestnika w instytucji przyjmującej;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Ustalenia dotyczące monitorowania, mentoringu i wsparcia oraz osoby odpowiedzialne w instytucji przyjmującej i wysyłającej;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Opis formatu, kryteriów i procedur oceny efektów uczenia się;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Opis warunków i procesu uznawania efektów uczenia się, a także dokumentów, które muszą zostać wydane przez instytucję wysyłającą lub przyjmującą, aby zapewnić ukończenie uznawania</w:t>
      </w:r>
    </w:p>
    <w:p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hanging="357" w:start="714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Style w:val="y2iqfc"/>
          <w:rFonts w:cs="Times New Roman" w:ascii="Times New Roman" w:hAnsi="Times New Roman"/>
          <w:sz w:val="22"/>
          <w:szCs w:val="22"/>
          <w:highlight w:val="yellow"/>
        </w:rPr>
        <w:t>W przypadku mobilności osób uczących się informacje o tym, w jakie działania podejmie instytucja wysyłająca w celu ponownej integracji Uczestnika po jego powrocie z mobilności.]</w:t>
      </w:r>
    </w:p>
    <w:p>
      <w:pPr>
        <w:pStyle w:val="Normal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5670" w:leader="none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ind w:firstLine="708"/>
        <w:rPr/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ee" w:characterSet="windows-1250"/>
    <w:family w:val="roman"/>
    <w:pitch w:val="variable"/>
  </w:font>
  <w:font w:name="Times New Roman Bold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 Light" w:hAnsi="Calibri Light"/>
        <w:color w:val="808080"/>
      </w:rPr>
    </w:pPr>
    <w:r>
      <mc:AlternateContent>
        <mc:Choice Requires="wps">
          <w:drawing>
            <wp:anchor distT="0" distB="0" distL="0" distR="0" simplePos="0" relativeHeight="10" behindDoc="1" locked="0" layoutInCell="0" allowOverlap="1" wp14:anchorId="5A7AD381">
              <wp:simplePos x="0" y="0"/>
              <wp:positionH relativeFrom="page">
                <wp:posOffset>109220</wp:posOffset>
              </wp:positionH>
              <wp:positionV relativeFrom="page">
                <wp:posOffset>582295</wp:posOffset>
              </wp:positionV>
              <wp:extent cx="7312660" cy="10284460"/>
              <wp:effectExtent l="8255" t="8255" r="8255" b="8255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2680" cy="10284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stroked="t" o:allowincell="f" style="position:absolute;margin-left:8.6pt;margin-top:45.85pt;width:575.75pt;height:809.75pt;mso-wrap-style:none;v-text-anchor:middle;mso-position-horizontal-relative:page;mso-position-vertical-relative:page" wp14:anchorId="5A7AD381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</w:r>
    <w:r>
      <w:rPr>
        <w:rFonts w:ascii="Calibri Light" w:hAnsi="Calibri Light"/>
        <w:color w:val="808080"/>
        <w:lang w:val="pl-PL"/>
      </w:rPr>
      <w:t xml:space="preserve">str. </w:t>
    </w:r>
    <w:r>
      <w:rPr>
        <w:rFonts w:ascii="Calibri" w:hAnsi="Calibri"/>
        <w:color w:val="808080"/>
      </w:rPr>
      <w:fldChar w:fldCharType="begin"/>
    </w:r>
    <w:r>
      <w:rPr>
        <w:rFonts w:ascii="Calibri" w:hAnsi="Calibri"/>
        <w:color w:val="808080"/>
      </w:rPr>
      <w:instrText xml:space="preserve"> PAGE </w:instrText>
    </w:r>
    <w:r>
      <w:rPr>
        <w:rFonts w:ascii="Calibri" w:hAnsi="Calibri"/>
        <w:color w:val="808080"/>
      </w:rPr>
      <w:fldChar w:fldCharType="separate"/>
    </w:r>
    <w:r>
      <w:rPr>
        <w:rFonts w:ascii="Calibri" w:hAnsi="Calibri"/>
        <w:color w:val="808080"/>
      </w:rPr>
      <w:t>9</w:t>
    </w:r>
    <w:r>
      <w:rPr>
        <w:rFonts w:ascii="Calibri" w:hAnsi="Calibri"/>
        <w:color w:val="808080"/>
      </w:rPr>
      <w:fldChar w:fldCharType="end"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both"/>
      <w:rPr>
        <w:color w:val="808080"/>
      </w:rPr>
    </w:pPr>
    <w:r>
      <w:rPr>
        <w:color w:val="808080"/>
      </w:rPr>
      <w:t>[...]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both"/>
      <w:rPr>
        <w:color w:val="808080"/>
        <w:sz w:val="24"/>
      </w:rPr>
    </w:pPr>
    <w:r>
      <w:rPr>
        <w:color w:val="808080"/>
      </w:rPr>
      <w:t>http://erasmusplus.org.pl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 Light" w:hAnsi="Calibri Light"/>
        <w:color w:val="808080"/>
      </w:rPr>
    </w:pPr>
    <w:r>
      <mc:AlternateContent>
        <mc:Choice Requires="wps">
          <w:drawing>
            <wp:anchor distT="0" distB="0" distL="0" distR="0" simplePos="0" relativeHeight="10" behindDoc="1" locked="0" layoutInCell="0" allowOverlap="1" wp14:anchorId="5A7AD381">
              <wp:simplePos x="0" y="0"/>
              <wp:positionH relativeFrom="page">
                <wp:posOffset>109220</wp:posOffset>
              </wp:positionH>
              <wp:positionV relativeFrom="page">
                <wp:posOffset>582295</wp:posOffset>
              </wp:positionV>
              <wp:extent cx="7312660" cy="10284460"/>
              <wp:effectExtent l="8255" t="8255" r="8255" b="8255"/>
              <wp:wrapNone/>
              <wp:docPr id="2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2680" cy="10284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stroked="t" o:allowincell="f" style="position:absolute;margin-left:8.6pt;margin-top:45.85pt;width:575.75pt;height:809.75pt;mso-wrap-style:none;v-text-anchor:middle;mso-position-horizontal-relative:page;mso-position-vertical-relative:page" wp14:anchorId="5A7AD381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</w:r>
    <w:r>
      <w:rPr>
        <w:rFonts w:ascii="Calibri Light" w:hAnsi="Calibri Light"/>
        <w:color w:val="808080"/>
        <w:lang w:val="pl-PL"/>
      </w:rPr>
      <w:t xml:space="preserve">str. </w:t>
    </w:r>
    <w:r>
      <w:rPr>
        <w:rFonts w:ascii="Calibri" w:hAnsi="Calibri"/>
        <w:color w:val="808080"/>
      </w:rPr>
      <w:fldChar w:fldCharType="begin"/>
    </w:r>
    <w:r>
      <w:rPr>
        <w:rFonts w:ascii="Calibri" w:hAnsi="Calibri"/>
        <w:color w:val="808080"/>
      </w:rPr>
      <w:instrText xml:space="preserve"> PAGE </w:instrText>
    </w:r>
    <w:r>
      <w:rPr>
        <w:rFonts w:ascii="Calibri" w:hAnsi="Calibri"/>
        <w:color w:val="808080"/>
      </w:rPr>
      <w:fldChar w:fldCharType="separate"/>
    </w:r>
    <w:r>
      <w:rPr>
        <w:rFonts w:ascii="Calibri" w:hAnsi="Calibri"/>
        <w:color w:val="808080"/>
      </w:rPr>
      <w:t>9</w:t>
    </w:r>
    <w:r>
      <w:rPr>
        <w:rFonts w:ascii="Calibri" w:hAnsi="Calibri"/>
        <w:color w:val="808080"/>
      </w:rPr>
      <w:fldChar w:fldCharType="end"/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both"/>
      <w:rPr>
        <w:color w:val="808080"/>
      </w:rPr>
    </w:pPr>
    <w:r>
      <w:rPr>
        <w:color w:val="808080"/>
      </w:rPr>
      <w:t>[...]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both"/>
      <w:rPr>
        <w:color w:val="808080"/>
        <w:sz w:val="24"/>
      </w:rPr>
    </w:pPr>
    <w:r>
      <w:rPr>
        <w:color w:val="808080"/>
      </w:rPr>
      <w:t>http://erasmusplus.org.pl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>
          <w:sz w:val="24"/>
          <w:szCs w:val="24"/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 xml:space="preserve"> </w:t>
      </w:r>
      <w:r>
        <w:rPr>
          <w:lang w:val="pl-PL"/>
        </w:rPr>
        <w:t>Wymiana pomiędzy stronami załączników z oryginalnymi podpisami nie jest wymagana. Podpisy elektroniczne lub skany podpisanych dokumentów są dopuszczalne, o ile pozwala na to prawo krajowe.</w:t>
      </w:r>
    </w:p>
    <w:p>
      <w:pPr>
        <w:pStyle w:val="FootnoteText"/>
        <w:spacing w:before="0" w:after="240"/>
        <w:ind w:hanging="0" w:start="0"/>
        <w:rPr>
          <w:lang w:val="pl-PL"/>
        </w:rPr>
      </w:pPr>
      <w:r>
        <w:rPr/>
      </w:r>
    </w:p>
  </w:footnote>
  <w:footnote w:id="3">
    <w:p>
      <w:pPr>
        <w:pStyle w:val="FootnoteText"/>
        <w:spacing w:before="0" w:after="240"/>
        <w:ind w:hanging="0" w:start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  <w:footnote w:id="4"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Style w:val="y2iqfc"/>
          <w:rFonts w:cs="Times New Roman" w:ascii="Times New Roman" w:hAnsi="Times New Roman"/>
          <w:sz w:val="18"/>
          <w:szCs w:val="18"/>
        </w:rPr>
        <w:t>Dodatkowe informacje o celu przetwarzania Pani/Pana danych osobowych, jakie dane zbieramy, kto ma do nich dostęp i jak są one chronione dostępne są pod adresem:</w:t>
      </w:r>
    </w:p>
    <w:p>
      <w:pPr>
        <w:pStyle w:val="Normal"/>
        <w:tabs>
          <w:tab w:val="clear" w:pos="708"/>
          <w:tab w:val="left" w:pos="0" w:leader="none"/>
        </w:tabs>
        <w:rPr>
          <w:sz w:val="18"/>
          <w:szCs w:val="18"/>
          <w:lang w:val="pl-PL"/>
        </w:rPr>
      </w:pPr>
      <w:hyperlink r:id="rId1">
        <w:r>
          <w:rPr>
            <w:rStyle w:val="Hyperlink"/>
            <w:color w:val="0000FF"/>
            <w:sz w:val="18"/>
            <w:szCs w:val="18"/>
            <w:u w:val="single"/>
            <w:lang w:val="pl-PL"/>
          </w:rPr>
          <w:t>https://webgate.ec.europa.eu/erasmus-esc/index/privacy-statement</w:t>
        </w:r>
      </w:hyperlink>
    </w:p>
    <w:p>
      <w:pPr>
        <w:pStyle w:val="FootnoteText"/>
        <w:spacing w:before="0" w:after="240"/>
        <w:rPr>
          <w:sz w:val="18"/>
          <w:szCs w:val="18"/>
          <w:lang w:val="pl-PL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lvlText w:val="%1."/>
      <w:lvlJc w:val="start"/>
      <w:pPr>
        <w:tabs>
          <w:tab w:val="num" w:pos="432"/>
        </w:tabs>
        <w:ind w:star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start"/>
      <w:pPr>
        <w:tabs>
          <w:tab w:val="num" w:pos="576"/>
        </w:tabs>
        <w:ind w:star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start"/>
      <w:pPr>
        <w:tabs>
          <w:tab w:val="num" w:pos="720"/>
        </w:tabs>
        <w:ind w:start="720" w:hanging="720"/>
      </w:pPr>
      <w:rPr>
        <w:rFonts w:cs="Times New Roman"/>
      </w:rPr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start"/>
      <w:pPr>
        <w:tabs>
          <w:tab w:val="num" w:pos="1008"/>
        </w:tabs>
        <w:ind w:star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start"/>
      <w:pPr>
        <w:tabs>
          <w:tab w:val="num" w:pos="1152"/>
        </w:tabs>
        <w:ind w:star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start"/>
      <w:pPr>
        <w:tabs>
          <w:tab w:val="num" w:pos="1296"/>
        </w:tabs>
        <w:ind w:star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start"/>
      <w:pPr>
        <w:tabs>
          <w:tab w:val="num" w:pos="1440"/>
        </w:tabs>
        <w:ind w:start="1440" w:hanging="1440"/>
      </w:pPr>
      <w:rPr>
        <w:rFonts w:cs="Times New Roman"/>
      </w:rPr>
    </w:lvl>
    <w:lvl w:ilvl="8">
      <w:start w:val="0"/>
      <w:numFmt w:val="decimal"/>
      <w:pStyle w:val="Heading9"/>
      <w:lvlText w:val="%1.%2.%3.%4.%5.%6.%7.%8.%9"/>
      <w:lvlJc w:val="start"/>
      <w:pPr>
        <w:tabs>
          <w:tab w:val="num" w:pos="1584"/>
        </w:tabs>
        <w:ind w:star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705" w:hanging="705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705" w:hanging="705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0f8e"/>
    <w:pPr>
      <w:widowControl/>
      <w:bidi w:val="0"/>
      <w:snapToGrid w:val="false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en-GB" w:bidi="ar-SA"/>
    </w:rPr>
  </w:style>
  <w:style w:type="paragraph" w:styleId="Heading1">
    <w:name w:val="heading 1"/>
    <w:basedOn w:val="Normal"/>
    <w:next w:val="Text1"/>
    <w:link w:val="Nagwek1Znak"/>
    <w:qFormat/>
    <w:rsid w:val="003f47ff"/>
    <w:pPr>
      <w:keepNext w:val="true"/>
      <w:numPr>
        <w:ilvl w:val="0"/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3f47ff"/>
    <w:pPr>
      <w:keepNext w:val="true"/>
      <w:numPr>
        <w:ilvl w:val="1"/>
        <w:numId w:val="1"/>
      </w:numPr>
      <w:spacing w:before="0"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gwek3Znak"/>
    <w:semiHidden/>
    <w:unhideWhenUsed/>
    <w:qFormat/>
    <w:rsid w:val="003f47ff"/>
    <w:pPr>
      <w:keepNext w:val="true"/>
      <w:numPr>
        <w:ilvl w:val="2"/>
        <w:numId w:val="1"/>
      </w:numPr>
      <w:spacing w:before="0"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3f47ff"/>
    <w:pPr>
      <w:keepNext w:val="true"/>
      <w:spacing w:before="0"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Nagwek5Znak"/>
    <w:semiHidden/>
    <w:unhideWhenUsed/>
    <w:qFormat/>
    <w:rsid w:val="003f47f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Nagwek6Znak"/>
    <w:semiHidden/>
    <w:unhideWhenUsed/>
    <w:qFormat/>
    <w:rsid w:val="003f47ff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Nagwek7Znak"/>
    <w:semiHidden/>
    <w:unhideWhenUsed/>
    <w:qFormat/>
    <w:rsid w:val="003f47f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Nagwek8Znak"/>
    <w:semiHidden/>
    <w:unhideWhenUsed/>
    <w:qFormat/>
    <w:rsid w:val="003f47f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Nagwek9Znak"/>
    <w:semiHidden/>
    <w:unhideWhenUsed/>
    <w:qFormat/>
    <w:rsid w:val="003f47f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3f47ff"/>
    <w:rPr>
      <w:rFonts w:ascii="Times New Roman" w:hAnsi="Times New Roman" w:eastAsia="Times New Roman" w:cs="Times New Roman"/>
      <w:b/>
      <w:smallCaps/>
      <w:kern w:val="0"/>
      <w:sz w:val="24"/>
      <w:szCs w:val="20"/>
      <w:lang w:val="fr-FR" w:eastAsia="en-GB"/>
    </w:rPr>
  </w:style>
  <w:style w:type="character" w:styleId="Nagwek2Znak" w:customStyle="1">
    <w:name w:val="Nagłówek 2 Znak"/>
    <w:semiHidden/>
    <w:qFormat/>
    <w:rsid w:val="003f47ff"/>
    <w:rPr>
      <w:rFonts w:ascii="Times New Roman" w:hAnsi="Times New Roman" w:eastAsia="Times New Roman" w:cs="Times New Roman"/>
      <w:b/>
      <w:kern w:val="0"/>
      <w:sz w:val="24"/>
      <w:szCs w:val="20"/>
      <w:lang w:val="fr-FR" w:eastAsia="en-GB"/>
    </w:rPr>
  </w:style>
  <w:style w:type="character" w:styleId="Nagwek3Znak" w:customStyle="1">
    <w:name w:val="Nagłówek 3 Znak"/>
    <w:semiHidden/>
    <w:qFormat/>
    <w:rsid w:val="003f47ff"/>
    <w:rPr>
      <w:rFonts w:ascii="Times New Roman" w:hAnsi="Times New Roman" w:eastAsia="Times New Roman" w:cs="Times New Roman"/>
      <w:i/>
      <w:kern w:val="0"/>
      <w:sz w:val="24"/>
      <w:szCs w:val="20"/>
      <w:lang w:val="fr-FR" w:eastAsia="en-GB"/>
    </w:rPr>
  </w:style>
  <w:style w:type="character" w:styleId="Nagwek4Znak" w:customStyle="1">
    <w:name w:val="Nagłówek 4 Znak"/>
    <w:uiPriority w:val="9"/>
    <w:qFormat/>
    <w:rsid w:val="003f47ff"/>
    <w:rPr>
      <w:rFonts w:ascii="Times New Roman" w:hAnsi="Times New Roman" w:eastAsia="Times New Roman" w:cs="Times New Roman"/>
      <w:kern w:val="0"/>
      <w:sz w:val="24"/>
      <w:szCs w:val="20"/>
      <w:lang w:val="fr-FR" w:eastAsia="en-GB"/>
    </w:rPr>
  </w:style>
  <w:style w:type="character" w:styleId="Nagwek5Znak" w:customStyle="1">
    <w:name w:val="Nagłówek 5 Znak"/>
    <w:semiHidden/>
    <w:qFormat/>
    <w:rsid w:val="003f47ff"/>
    <w:rPr>
      <w:rFonts w:ascii="Arial" w:hAnsi="Arial" w:eastAsia="Times New Roman" w:cs="Times New Roman"/>
      <w:kern w:val="0"/>
      <w:szCs w:val="20"/>
      <w:lang w:val="fr-FR" w:eastAsia="en-GB"/>
    </w:rPr>
  </w:style>
  <w:style w:type="character" w:styleId="Nagwek6Znak" w:customStyle="1">
    <w:name w:val="Nagłówek 6 Znak"/>
    <w:semiHidden/>
    <w:qFormat/>
    <w:rsid w:val="003f47ff"/>
    <w:rPr>
      <w:rFonts w:ascii="Arial" w:hAnsi="Arial" w:eastAsia="Times New Roman" w:cs="Times New Roman"/>
      <w:i/>
      <w:kern w:val="0"/>
      <w:szCs w:val="20"/>
      <w:lang w:val="fr-FR" w:eastAsia="en-GB"/>
    </w:rPr>
  </w:style>
  <w:style w:type="character" w:styleId="Nagwek7Znak" w:customStyle="1">
    <w:name w:val="Nagłówek 7 Znak"/>
    <w:semiHidden/>
    <w:qFormat/>
    <w:rsid w:val="003f47ff"/>
    <w:rPr>
      <w:rFonts w:ascii="Arial" w:hAnsi="Arial" w:eastAsia="Times New Roman" w:cs="Times New Roman"/>
      <w:kern w:val="0"/>
      <w:sz w:val="20"/>
      <w:szCs w:val="20"/>
      <w:lang w:val="fr-FR" w:eastAsia="en-GB"/>
    </w:rPr>
  </w:style>
  <w:style w:type="character" w:styleId="Nagwek8Znak" w:customStyle="1">
    <w:name w:val="Nagłówek 8 Znak"/>
    <w:semiHidden/>
    <w:qFormat/>
    <w:rsid w:val="003f47ff"/>
    <w:rPr>
      <w:rFonts w:ascii="Arial" w:hAnsi="Arial" w:eastAsia="Times New Roman" w:cs="Times New Roman"/>
      <w:i/>
      <w:kern w:val="0"/>
      <w:sz w:val="20"/>
      <w:szCs w:val="20"/>
      <w:lang w:val="fr-FR" w:eastAsia="en-GB"/>
    </w:rPr>
  </w:style>
  <w:style w:type="character" w:styleId="Nagwek9Znak" w:customStyle="1">
    <w:name w:val="Nagłówek 9 Znak"/>
    <w:semiHidden/>
    <w:qFormat/>
    <w:rsid w:val="003f47ff"/>
    <w:rPr>
      <w:rFonts w:ascii="Arial" w:hAnsi="Arial" w:eastAsia="Times New Roman" w:cs="Times New Roman"/>
      <w:i/>
      <w:kern w:val="0"/>
      <w:sz w:val="18"/>
      <w:szCs w:val="20"/>
      <w:lang w:val="fr-FR" w:eastAsia="en-GB"/>
    </w:rPr>
  </w:style>
  <w:style w:type="character" w:styleId="Hyperlink">
    <w:name w:val="Hyperlink"/>
    <w:unhideWhenUsed/>
    <w:rsid w:val="003f47ff"/>
    <w:rPr>
      <w:rFonts w:ascii="Times New Roman" w:hAnsi="Times New Roman" w:cs="Times New Roman"/>
      <w:color w:val="0000FF"/>
      <w:u w:val="single"/>
    </w:rPr>
  </w:style>
  <w:style w:type="character" w:styleId="TekstprzypisudolnegoZnak" w:customStyle="1">
    <w:name w:val="Tekst przypisu dolnego Znak"/>
    <w:semiHidden/>
    <w:qFormat/>
    <w:rsid w:val="003f47ff"/>
    <w:rPr>
      <w:rFonts w:ascii="Times New Roman" w:hAnsi="Times New Roman" w:eastAsia="Times New Roman" w:cs="Times New Roman"/>
      <w:kern w:val="0"/>
      <w:sz w:val="20"/>
      <w:szCs w:val="20"/>
      <w:lang w:val="fr-FR" w:eastAsia="en-GB"/>
    </w:rPr>
  </w:style>
  <w:style w:type="character" w:styleId="AkapitzlistZnak" w:customStyle="1">
    <w:name w:val="Akapit z listą Znak"/>
    <w:link w:val="ListParagraph"/>
    <w:uiPriority w:val="34"/>
    <w:qFormat/>
    <w:locked/>
    <w:rsid w:val="003f47ff"/>
    <w:rPr>
      <w:lang w:val="fr-FR"/>
    </w:rPr>
  </w:style>
  <w:style w:type="character" w:styleId="Znakiprzypiswdolnych">
    <w:name w:val="Znaki przypisów dolnych"/>
    <w:semiHidden/>
    <w:unhideWhenUsed/>
    <w:qFormat/>
    <w:rsid w:val="003f47ff"/>
    <w:rPr>
      <w:rFonts w:ascii="Times New Roman" w:hAnsi="Times New Roman" w:cs="Times New Roman"/>
    </w:rPr>
  </w:style>
  <w:style w:type="character" w:styleId="FootnoteReference">
    <w:name w:val="footnote reference"/>
    <w:rPr>
      <w:vertAlign w:val="superscript"/>
    </w:rPr>
  </w:style>
  <w:style w:type="character" w:styleId="TekstkomentarzaZnak" w:customStyle="1">
    <w:name w:val="Tekst komentarza Znak"/>
    <w:link w:val="CommentText"/>
    <w:qFormat/>
    <w:rsid w:val="00f31c73"/>
    <w:rPr>
      <w:rFonts w:ascii="Times New Roman" w:hAnsi="Times New Roman" w:eastAsia="Times New Roman" w:cs="Times New Roman"/>
      <w:kern w:val="0"/>
      <w:sz w:val="20"/>
      <w:szCs w:val="20"/>
      <w:lang w:val="fr-FR" w:eastAsia="x-none"/>
    </w:rPr>
  </w:style>
  <w:style w:type="character" w:styleId="HTML-wstpniesformatowanyZnak" w:customStyle="1">
    <w:name w:val="HTML - wstępnie sformatowany Znak"/>
    <w:link w:val="HTMLPreformatted"/>
    <w:uiPriority w:val="99"/>
    <w:qFormat/>
    <w:rsid w:val="005d7084"/>
    <w:rPr>
      <w:rFonts w:ascii="Courier New" w:hAnsi="Courier New" w:eastAsia="Times New Roman" w:cs="Courier New"/>
      <w:kern w:val="0"/>
      <w:sz w:val="20"/>
      <w:szCs w:val="20"/>
      <w:lang w:eastAsia="pl-PL"/>
    </w:rPr>
  </w:style>
  <w:style w:type="character" w:styleId="y2iqfc" w:customStyle="1">
    <w:name w:val="y2iqfc"/>
    <w:basedOn w:val="DefaultParagraphFont"/>
    <w:qFormat/>
    <w:rsid w:val="005d7084"/>
    <w:rPr/>
  </w:style>
  <w:style w:type="character" w:styleId="NagwekZnak" w:customStyle="1">
    <w:name w:val="Nagłówek Znak"/>
    <w:uiPriority w:val="99"/>
    <w:qFormat/>
    <w:rsid w:val="00220aaa"/>
    <w:rPr>
      <w:rFonts w:ascii="Times New Roman" w:hAnsi="Times New Roman" w:eastAsia="Times New Roman" w:cs="Times New Roman"/>
      <w:kern w:val="0"/>
      <w:sz w:val="20"/>
      <w:szCs w:val="20"/>
      <w:lang w:val="fr-FR" w:eastAsia="en-GB"/>
    </w:rPr>
  </w:style>
  <w:style w:type="character" w:styleId="StopkaZnak" w:customStyle="1">
    <w:name w:val="Stopka Znak"/>
    <w:uiPriority w:val="99"/>
    <w:qFormat/>
    <w:rsid w:val="00220aaa"/>
    <w:rPr>
      <w:rFonts w:ascii="Times New Roman" w:hAnsi="Times New Roman" w:eastAsia="Times New Roman" w:cs="Times New Roman"/>
      <w:kern w:val="0"/>
      <w:sz w:val="20"/>
      <w:szCs w:val="20"/>
      <w:lang w:val="fr-FR" w:eastAsia="en-GB"/>
    </w:rPr>
  </w:style>
  <w:style w:type="character" w:styleId="CommentReference">
    <w:name w:val="annotation reference"/>
    <w:uiPriority w:val="99"/>
    <w:semiHidden/>
    <w:unhideWhenUsed/>
    <w:qFormat/>
    <w:rsid w:val="0054615b"/>
    <w:rPr>
      <w:sz w:val="16"/>
      <w:szCs w:val="16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54615b"/>
    <w:rPr>
      <w:rFonts w:ascii="Times New Roman" w:hAnsi="Times New Roman" w:eastAsia="Times New Roman" w:cs="Times New Roman"/>
      <w:b/>
      <w:bCs/>
      <w:kern w:val="0"/>
      <w:sz w:val="20"/>
      <w:szCs w:val="20"/>
      <w:lang w:val="fr-FR" w:eastAsia="en-GB"/>
    </w:rPr>
  </w:style>
  <w:style w:type="character" w:styleId="UnresolvedMention">
    <w:name w:val="Unresolved Mention"/>
    <w:uiPriority w:val="99"/>
    <w:semiHidden/>
    <w:unhideWhenUsed/>
    <w:qFormat/>
    <w:rsid w:val="0054615b"/>
    <w:rPr>
      <w:color w:val="605E5C"/>
      <w:shd w:fill="E1DFDD" w:val="clear"/>
    </w:rPr>
  </w:style>
  <w:style w:type="character" w:styleId="Strong">
    <w:name w:val="Strong"/>
    <w:uiPriority w:val="22"/>
    <w:qFormat/>
    <w:rsid w:val="00427291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xt1" w:customStyle="1">
    <w:name w:val="Text 1"/>
    <w:basedOn w:val="Normal"/>
    <w:qFormat/>
    <w:rsid w:val="003f47ff"/>
    <w:pPr>
      <w:spacing w:before="0" w:after="240"/>
      <w:ind w:start="483"/>
      <w:jc w:val="both"/>
    </w:pPr>
    <w:rPr>
      <w:sz w:val="24"/>
    </w:rPr>
  </w:style>
  <w:style w:type="paragraph" w:styleId="FootnoteText">
    <w:name w:val="footnote text"/>
    <w:basedOn w:val="Normal"/>
    <w:link w:val="TekstprzypisudolnegoZnak"/>
    <w:semiHidden/>
    <w:unhideWhenUsed/>
    <w:rsid w:val="003f47ff"/>
    <w:pPr>
      <w:spacing w:before="0" w:after="240"/>
      <w:ind w:hanging="357" w:start="357"/>
      <w:jc w:val="both"/>
    </w:pPr>
    <w:rPr/>
  </w:style>
  <w:style w:type="paragraph" w:styleId="ListParagraph">
    <w:name w:val="List Paragraph"/>
    <w:basedOn w:val="Normal"/>
    <w:link w:val="AkapitzlistZnak"/>
    <w:uiPriority w:val="34"/>
    <w:qFormat/>
    <w:rsid w:val="003f47ff"/>
    <w:pPr>
      <w:spacing w:before="0" w:after="0"/>
      <w:ind w:start="720"/>
      <w:contextualSpacing/>
    </w:pPr>
    <w:rPr>
      <w:rFonts w:ascii="Calibri" w:hAnsi="Calibri" w:eastAsia="Calibri"/>
      <w:kern w:val="2"/>
      <w:sz w:val="22"/>
      <w:szCs w:val="22"/>
      <w:lang w:eastAsia="en-US"/>
    </w:rPr>
  </w:style>
  <w:style w:type="paragraph" w:styleId="Default" w:customStyle="1">
    <w:name w:val="Default"/>
    <w:qFormat/>
    <w:rsid w:val="003f47ff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GB" w:eastAsia="en-GB" w:bidi="ar-SA"/>
    </w:rPr>
  </w:style>
  <w:style w:type="paragraph" w:styleId="CommentText">
    <w:name w:val="annotation text"/>
    <w:basedOn w:val="Normal"/>
    <w:link w:val="TekstkomentarzaZnak"/>
    <w:rsid w:val="00f31c73"/>
    <w:pPr>
      <w:snapToGrid w:val="true"/>
    </w:pPr>
    <w:rPr>
      <w:lang w:eastAsia="x-none"/>
    </w:rPr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5d708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napToGrid w:val="true"/>
    </w:pPr>
    <w:rPr>
      <w:rFonts w:ascii="Courier New" w:hAnsi="Courier New" w:cs="Courier New"/>
      <w:lang w:val="pl-PL"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20aa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220aa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f14f03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en-GB" w:bidi="ar-SA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4615b"/>
    <w:pPr>
      <w:snapToGrid w:val="false"/>
    </w:pPr>
    <w:rPr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427291"/>
    <w:pPr>
      <w:snapToGrid w:val="true"/>
      <w:spacing w:beforeAutospacing="1" w:afterAutospacing="1"/>
    </w:pPr>
    <w:rPr>
      <w:sz w:val="24"/>
      <w:szCs w:val="24"/>
      <w:lang w:val="pl-PL"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.europa.eu/erasmus-esc-personal-data?lang=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D32E-5E26-4D79-A9B0-3D87DD22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LibreOffice/26.2.4.2$Windows_X86_64 LibreOffice_project/0229ac93fcf0d7cbc6376066c6f35021cef002dc</Application>
  <AppVersion>15.0000</AppVersion>
  <Pages>9</Pages>
  <Words>2764</Words>
  <Characters>18427</Characters>
  <CharactersWithSpaces>21157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2026-06-05T11:21:00Z</dcterms:created>
  <dc:creator>Dorota Sławińska</dc:creator>
  <dc:description/>
  <dc:language>pl-PL</dc:language>
  <cp:lastModifiedBy/>
  <cp:lastPrinted>2024-06-12T06:56:00Z</cp:lastPrinted>
  <dcterms:modified xsi:type="dcterms:W3CDTF">2026-07-03T15:32:06Z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