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A1D5" w14:textId="77777777" w:rsidR="002820C2" w:rsidRPr="002820C2" w:rsidRDefault="002820C2" w:rsidP="002820C2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2820C2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 CZNIK 2 – OBOWIĄZUJĄCE PRZEPISY związane z kwalifikowalnością kosztów i WKŁADÓW</w:t>
      </w:r>
    </w:p>
    <w:p w14:paraId="45D35819" w14:textId="77777777" w:rsidR="002820C2" w:rsidRPr="002820C2" w:rsidRDefault="002820C2" w:rsidP="002820C2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2820C2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121 i KA122</w:t>
      </w:r>
      <w:r w:rsidRPr="002820C2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br/>
        <w:t>(ADU)</w:t>
      </w:r>
    </w:p>
    <w:p w14:paraId="57E78A40" w14:textId="77777777" w:rsidR="002820C2" w:rsidRPr="002820C2" w:rsidRDefault="002820C2" w:rsidP="002820C2">
      <w:pPr>
        <w:keepNext/>
        <w:keepLines/>
        <w:numPr>
          <w:ilvl w:val="0"/>
          <w:numId w:val="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68AFAAEA" w14:textId="77777777" w:rsidR="002820C2" w:rsidRPr="002820C2" w:rsidRDefault="002820C2" w:rsidP="002820C2">
      <w:pPr>
        <w:spacing w:after="200" w:line="257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Podróż</w:t>
      </w:r>
    </w:p>
    <w:p w14:paraId="363CC1E7" w14:textId="77777777" w:rsidR="002820C2" w:rsidRPr="002820C2" w:rsidRDefault="002820C2" w:rsidP="002820C2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2820C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2820C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3E78E2A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2820C2">
        <w:rPr>
          <w:rFonts w:ascii="Times New Roman" w:eastAsia="Calibri" w:hAnsi="Times New Roman" w:cs="Times New Roman"/>
          <w:kern w:val="0"/>
          <w14:ligatures w14:val="none"/>
        </w:rPr>
        <w:t xml:space="preserve">(tj. wspólne przejazdy samochodem co najmniej dwóch pasażerów, gdzie kierowca dzieli koszty na paliwo wspólnie z pasażerem/pasażerami) 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 pociąg. Statek będzie uważany za ekologiczny środek transportu tylko w połączeniu z innym niskoemisyjnym środkiem transportu. Agencja narodowa może uznać inne środki transportu za zrównoważone w oparciu o utrwaloną praktykę, indywidualnie dla każdego przypadku. </w:t>
      </w:r>
    </w:p>
    <w:p w14:paraId="7545B387" w14:textId="77777777" w:rsidR="002820C2" w:rsidRPr="002820C2" w:rsidRDefault="002820C2" w:rsidP="002820C2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Wkład jednostkowy na podróż zrównoważonymi środkami transportu (podróż z wykorzystaniem ekologicznych środków transportu) jest kwalifikowalny, jeżeli co najmniej połowę podróży w obie strony odbyto zrównoważonymi środkami transportu (pod względem przebytej odległości wyrażoną w kilometrach).</w:t>
      </w:r>
    </w:p>
    <w:p w14:paraId="0E052CD2" w14:textId="77777777" w:rsidR="002820C2" w:rsidRPr="002820C2" w:rsidRDefault="002820C2" w:rsidP="002820C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2820C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Wkład jednostkowy w przeliczeniu na przedział odległości</w:t>
      </w:r>
      <w:r w:rsidRPr="002820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: </w:t>
      </w:r>
      <w:r w:rsidRPr="002820C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koszt podróży w obie strony między miejscem wyjazdu a miejscem przyjazdu.</w:t>
      </w:r>
    </w:p>
    <w:p w14:paraId="7795219E" w14:textId="77777777" w:rsidR="002820C2" w:rsidRPr="002820C2" w:rsidRDefault="002820C2" w:rsidP="002820C2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działania</w:t>
      </w:r>
      <w:r w:rsidRPr="002820C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 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miejsce, w którym znajduje się organizacja przyjmująca</w:t>
      </w:r>
      <w:r w:rsidRPr="002820C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2F37A67B" w14:textId="77777777" w:rsidR="002820C2" w:rsidRPr="002820C2" w:rsidRDefault="002820C2" w:rsidP="002820C2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04FA8EBC" w14:textId="77777777" w:rsidR="002820C2" w:rsidRPr="002820C2" w:rsidRDefault="002820C2" w:rsidP="002820C2">
      <w:pPr>
        <w:spacing w:after="20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1B4271CE" w14:textId="77777777" w:rsidR="002820C2" w:rsidRPr="002820C2" w:rsidRDefault="002820C2" w:rsidP="002820C2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5F14A574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 w danym przedziale odległości przez wkład jednostkowy, mający zastosowanie do danego przedziału odległości i rodzaju podróży (z wykorzystaniem  lub bez wykorzystania ekologicznych środków transportu), jak określono w załączniku 3 do umowy. </w:t>
      </w:r>
    </w:p>
    <w:p w14:paraId="43B24A52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7" w:history="1">
        <w:r w:rsidRPr="002820C2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29D9FD9D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2AE33100" w14:textId="77777777" w:rsidR="002820C2" w:rsidRPr="002820C2" w:rsidRDefault="002820C2" w:rsidP="002820C2">
      <w:pPr>
        <w:numPr>
          <w:ilvl w:val="0"/>
          <w:numId w:val="2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68DB92FB" w14:textId="77777777" w:rsidR="002820C2" w:rsidRPr="002820C2" w:rsidRDefault="002820C2" w:rsidP="002820C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Podróż jest kwalifikowana (uprawniona) wtedy, gdy uczestnik faktycznie podjął działanie.</w:t>
      </w:r>
    </w:p>
    <w:p w14:paraId="4AA29A0C" w14:textId="77777777" w:rsidR="002820C2" w:rsidRPr="002820C2" w:rsidRDefault="002820C2" w:rsidP="002820C2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AFCA9A8" w14:textId="77777777" w:rsidR="002820C2" w:rsidRPr="002820C2" w:rsidRDefault="002820C2" w:rsidP="002820C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 xml:space="preserve">Dokumenty potwierdzające </w:t>
      </w:r>
    </w:p>
    <w:p w14:paraId="2A057011" w14:textId="77777777" w:rsidR="002820C2" w:rsidRPr="002820C2" w:rsidRDefault="002820C2" w:rsidP="002820C2">
      <w:pPr>
        <w:suppressAutoHyphens/>
        <w:spacing w:after="0" w:line="100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2DA91471" w14:textId="77777777" w:rsidR="002820C2" w:rsidRPr="002820C2" w:rsidRDefault="002820C2" w:rsidP="002820C2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Dokumentem potwierdzającym w przypadku działań indywidualnych jest:</w:t>
      </w:r>
    </w:p>
    <w:p w14:paraId="4A820BD7" w14:textId="77777777" w:rsidR="002820C2" w:rsidRPr="002820C2" w:rsidRDefault="002820C2" w:rsidP="002820C2">
      <w:pPr>
        <w:suppressAutoHyphens/>
        <w:spacing w:after="0" w:line="100" w:lineRule="atLeast"/>
        <w:ind w:left="1440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</w:p>
    <w:p w14:paraId="7A0D1A4F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dowód uczestnictwa w działaniu w formie dokumentu: dokument </w:t>
      </w:r>
      <w:proofErr w:type="spellStart"/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Europass</w:t>
      </w:r>
      <w:proofErr w:type="spellEnd"/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-Mobilność lub innego rodzaju dokument określający efekty uczenia się, zawierający daty rozpoczęcia i zakończenia działania.</w:t>
      </w:r>
    </w:p>
    <w:p w14:paraId="63B7356B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689394B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 przypadku udziału osób towarzyszących, ich imiona i nazwiska oraz okres pobytu muszą zostać wpisane w tym samym dokumencie lub w oddzielnym zaświadczeniu.</w:t>
      </w:r>
    </w:p>
    <w:p w14:paraId="5967A98B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8E01548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przyjmującą lub organizację wysyłającą. </w:t>
      </w:r>
    </w:p>
    <w:p w14:paraId="479D588D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A5AFA8D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ponadto w odniesieniu do następujących rodzajów działań: </w:t>
      </w:r>
    </w:p>
    <w:p w14:paraId="0F4AF18E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B050"/>
          <w:kern w:val="0"/>
          <w:szCs w:val="22"/>
          <w14:ligatures w14:val="none"/>
        </w:rPr>
      </w:pPr>
    </w:p>
    <w:p w14:paraId="492191A7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obserwacja pracy, wyjazd w celu prowadzenia zajęć, kursy i szkolenia, krótkoterminowa mobilność edukacyjna dorosłych słuchaczy, długoterminowa mobilność edukacyjna dorosłych słuchaczy, przyjmowanie szkolących się nauczycieli i edukatorów</w:t>
      </w:r>
    </w:p>
    <w:p w14:paraId="27DD8EEF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9C12370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wymagana będzie, jako dokumentacja uzupełniająca: podpisana umowa o udzielenie dotacji między beneficjentem a uczestnikiem</w:t>
      </w:r>
      <w:r w:rsidRPr="002820C2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.</w:t>
      </w:r>
    </w:p>
    <w:p w14:paraId="01797DDF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</w:p>
    <w:p w14:paraId="2CDE82FE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- w przypadku zaproszenia ekspertów: program uczenia się dostarczony przez eksperta,  podpisany przez niego i przez organizację zapraszającą.</w:t>
      </w:r>
    </w:p>
    <w:p w14:paraId="6F541FD7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0"/>
          <w:szCs w:val="22"/>
          <w14:ligatures w14:val="none"/>
        </w:rPr>
      </w:pPr>
    </w:p>
    <w:p w14:paraId="09567115" w14:textId="77777777" w:rsidR="002820C2" w:rsidRPr="002820C2" w:rsidRDefault="002820C2" w:rsidP="002820C2">
      <w:pPr>
        <w:suppressAutoHyphens/>
        <w:spacing w:after="240" w:line="276" w:lineRule="auto"/>
        <w:rPr>
          <w:rFonts w:ascii="Calibri" w:eastAsia="SimSun" w:hAnsi="Calibri" w:cs="Times New Roman"/>
          <w:color w:val="000000"/>
          <w:kern w:val="0"/>
          <w:sz w:val="22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Dokumentem potwierdzającym w przypadku działań grupowych są:</w:t>
      </w:r>
    </w:p>
    <w:p w14:paraId="543CF923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lista uczestników i osób towarzyszących oraz zrealizowany program uczenia się, (zawierający daty rozpoczęcia i zakończenia działania,  harmonogram działań i zastosowane metody). </w:t>
      </w:r>
    </w:p>
    <w:p w14:paraId="422E8AA2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89374E" w14:textId="77777777" w:rsidR="002820C2" w:rsidRPr="002820C2" w:rsidRDefault="002820C2" w:rsidP="002820C2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wysyłającą i organizację przyjmującą. </w:t>
      </w:r>
    </w:p>
    <w:p w14:paraId="411B65A1" w14:textId="77777777" w:rsidR="002820C2" w:rsidRPr="002820C2" w:rsidRDefault="002820C2" w:rsidP="002820C2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316B777" w14:textId="77777777" w:rsidR="002820C2" w:rsidRPr="002820C2" w:rsidRDefault="002820C2" w:rsidP="002820C2">
      <w:pPr>
        <w:tabs>
          <w:tab w:val="left" w:pos="851"/>
        </w:tabs>
        <w:suppressAutoHyphens/>
        <w:spacing w:after="240" w:line="276" w:lineRule="auto"/>
        <w:ind w:left="720"/>
        <w:rPr>
          <w:rFonts w:ascii="Calibri" w:eastAsia="SimSun" w:hAnsi="Calibri" w:cs="Times New Roman"/>
          <w:color w:val="000000"/>
          <w:kern w:val="0"/>
          <w:sz w:val="22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14:ligatures w14:val="none"/>
        </w:rPr>
        <w:t>W przypadku działań grupowych organizowanych w siedzibie jednej z instytucji Unii Europejskiej dokumenty potwierdzające muszą być podpisane przez dwie organizacje wysyłające, zaś podpis organizacji przyjmującej nie jest wymagany.</w:t>
      </w:r>
    </w:p>
    <w:p w14:paraId="2989323D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0F59181E" w14:textId="77777777" w:rsidR="002820C2" w:rsidRPr="002820C2" w:rsidRDefault="002820C2" w:rsidP="002820C2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Ponadto, oprócz dokumentów potwierdzających określonych powyżej, w przypadku korzystania ze zrównoważonych środków transportu (podróż z wykorzystaniem ekologicznych środków transportu): dokumentem potwierdzającym będzie oświadczenie podpisane przez osobę otrzymującą dotację na podróż. </w:t>
      </w:r>
      <w:r w:rsidRPr="002820C2">
        <w:rPr>
          <w:rFonts w:ascii="Times New Roman" w:eastAsia="Calibri" w:hAnsi="Times New Roman" w:cs="Times New Roman"/>
          <w:kern w:val="0"/>
          <w14:ligatures w14:val="none"/>
        </w:rPr>
        <w:t xml:space="preserve">W przypadku działań grupowych oświadczenie o podróży grupy podpisuje  organizacja wysyłająca. </w:t>
      </w:r>
    </w:p>
    <w:p w14:paraId="67FEF516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3B0D440E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06F8989E" w14:textId="77777777" w:rsidR="002820C2" w:rsidRPr="002820C2" w:rsidRDefault="002820C2" w:rsidP="002820C2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0A039C79" w14:textId="77777777" w:rsidR="002820C2" w:rsidRPr="002820C2" w:rsidRDefault="002820C2" w:rsidP="002820C2">
      <w:pPr>
        <w:numPr>
          <w:ilvl w:val="0"/>
          <w:numId w:val="3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479694D7" w14:textId="77777777" w:rsidR="002820C2" w:rsidRPr="002820C2" w:rsidRDefault="002820C2" w:rsidP="002820C2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Całkowity wkład jednostkowy oblicza się, mnożąc liczbę dni działania w przeliczeniu na uczestnika i osobę towarzyszącą przez wkład jednostkowy mający zastosowanie w przeliczeniu na dzień w danym kraju przyjmującym, jak określono w załączniku 3 do umowy. Można dodać dni podróży, jeżeli są one istotne dla danego działania.</w:t>
      </w:r>
    </w:p>
    <w:p w14:paraId="76D8CF7F" w14:textId="77777777" w:rsidR="002820C2" w:rsidRPr="002820C2" w:rsidRDefault="002820C2" w:rsidP="002820C2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przerwy w trakcie pobytu, okres przerwy nie będzie brany pod uwagę przy obliczaniu dotacji na wsparcie indywidualne. W przypadku przerwy spowodowanej siłą wyższą uczestnik musi mieć możliwość wznowienia i kontynuowania działań po przerwie (na warunkach określonych w niniejszej umowie).</w:t>
      </w:r>
    </w:p>
    <w:p w14:paraId="769D41B4" w14:textId="77777777" w:rsidR="002820C2" w:rsidRPr="002820C2" w:rsidRDefault="002820C2" w:rsidP="002820C2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09EE9F4A" w14:textId="77777777" w:rsidR="002820C2" w:rsidRPr="002820C2" w:rsidRDefault="002820C2" w:rsidP="002820C2">
      <w:pPr>
        <w:numPr>
          <w:ilvl w:val="0"/>
          <w:numId w:val="3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26187F7" w14:textId="77777777" w:rsidR="002820C2" w:rsidRPr="002820C2" w:rsidRDefault="002820C2" w:rsidP="002820C2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14:paraId="12A9DD69" w14:textId="77777777" w:rsidR="002820C2" w:rsidRPr="002820C2" w:rsidRDefault="002820C2" w:rsidP="002820C2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199FADFC" w14:textId="77777777" w:rsidR="002820C2" w:rsidRPr="002820C2" w:rsidRDefault="002820C2" w:rsidP="002820C2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>Te same dokumenty potwierdzające, które są wymagane w przypadku podróży (zob. sekcja 1.1.c).</w:t>
      </w:r>
    </w:p>
    <w:p w14:paraId="1DE24FCD" w14:textId="77777777" w:rsidR="002820C2" w:rsidRPr="002820C2" w:rsidRDefault="002820C2" w:rsidP="002820C2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0E1C283E" w14:textId="3F072354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16664147"/>
      <w:r w:rsidRPr="002820C2">
        <w:rPr>
          <w:rFonts w:ascii="Times New Roman" w:eastAsia="Calibri" w:hAnsi="Times New Roman" w:cs="Times New Roman"/>
          <w:kern w:val="0"/>
          <w14:ligatures w14:val="none"/>
        </w:rPr>
        <w:t xml:space="preserve">Uczestnicy muszą wypełnić standardowy kwestionariusz online udostępniony przez Komisję Europejską (sprawozdanie uczestnika), 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celu przedstawienia informacji dotyczących faktycznie zrealizowanego działania w zakresie mobilności, jego oceny, działań przygotowawczych do mobilności oraz działań następczych. </w:t>
      </w:r>
    </w:p>
    <w:bookmarkEnd w:id="0"/>
    <w:p w14:paraId="694091E9" w14:textId="77777777" w:rsidR="002820C2" w:rsidRPr="002820C2" w:rsidRDefault="002820C2" w:rsidP="002820C2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lastRenderedPageBreak/>
        <w:t>Od zaproszonych ekspertów nie wymaga się przedłożenia sprawozdania uczestnika.</w:t>
      </w:r>
    </w:p>
    <w:p w14:paraId="6D2A8B1B" w14:textId="77777777" w:rsidR="002820C2" w:rsidRPr="002820C2" w:rsidRDefault="002820C2" w:rsidP="002820C2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Sprawozdania uczestników dotyczące działań realizowanych w ramach mobilności grupowej w imieniu całej grupy wypełnia wiodąca osoba towarzysząca.</w:t>
      </w:r>
    </w:p>
    <w:p w14:paraId="1427877E" w14:textId="77777777" w:rsidR="002820C2" w:rsidRPr="002820C2" w:rsidRDefault="002820C2" w:rsidP="002820C2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4B85A9D7" w14:textId="77777777" w:rsidR="002820C2" w:rsidRPr="002820C2" w:rsidRDefault="002820C2" w:rsidP="002820C2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61D1785E" w14:textId="77777777" w:rsidR="002820C2" w:rsidRPr="002820C2" w:rsidRDefault="002820C2" w:rsidP="002820C2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oraz osoby biorące udział w wizytach przygotowawczych nie są uznawane za uczestników działań w zakresie mobilności i nie są zatem brane pod uwagę przy obliczaniu wsparcia organizacyjnego.</w:t>
      </w:r>
    </w:p>
    <w:p w14:paraId="3C039121" w14:textId="77777777" w:rsidR="002820C2" w:rsidRPr="002820C2" w:rsidRDefault="002820C2" w:rsidP="002820C2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6FE376CD" w14:textId="77777777" w:rsidR="002820C2" w:rsidRPr="002820C2" w:rsidRDefault="002820C2" w:rsidP="002820C2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14:paraId="0451922F" w14:textId="77777777" w:rsidR="002820C2" w:rsidRPr="002820C2" w:rsidRDefault="002820C2" w:rsidP="002820C2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c)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4861C45B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Te same dokumenty potwierdzające, które są wymagane w przypadku podróży (zob. sekcja 1.1.c).</w:t>
      </w:r>
    </w:p>
    <w:p w14:paraId="69B6A222" w14:textId="77777777" w:rsidR="002820C2" w:rsidRPr="002820C2" w:rsidRDefault="002820C2" w:rsidP="002820C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1E76F2B5" w14:textId="77777777" w:rsidR="002820C2" w:rsidRPr="002820C2" w:rsidRDefault="002820C2" w:rsidP="002820C2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2820C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Nie dotyczy.</w:t>
      </w:r>
    </w:p>
    <w:p w14:paraId="5449C300" w14:textId="77777777" w:rsidR="002820C2" w:rsidRPr="002820C2" w:rsidRDefault="002820C2" w:rsidP="002820C2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u w:val="single"/>
          <w14:ligatures w14:val="none"/>
        </w:rPr>
      </w:pPr>
    </w:p>
    <w:p w14:paraId="2CCAA826" w14:textId="77777777" w:rsidR="002820C2" w:rsidRPr="002820C2" w:rsidRDefault="002820C2" w:rsidP="002820C2">
      <w:pPr>
        <w:suppressAutoHyphens/>
        <w:spacing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1.4-1.6 </w:t>
      </w:r>
    </w:p>
    <w:p w14:paraId="75A188C7" w14:textId="77777777" w:rsidR="002820C2" w:rsidRPr="002820C2" w:rsidDel="00CD2603" w:rsidRDefault="002820C2" w:rsidP="002820C2">
      <w:pPr>
        <w:suppressAutoHyphens/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Nie dotyczy.</w:t>
      </w:r>
    </w:p>
    <w:p w14:paraId="788C22CC" w14:textId="77777777" w:rsidR="002820C2" w:rsidRPr="002820C2" w:rsidRDefault="002820C2" w:rsidP="002820C2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331FE0C6" w14:textId="77777777" w:rsidR="002820C2" w:rsidRPr="002820C2" w:rsidRDefault="002820C2" w:rsidP="002820C2">
      <w:pPr>
        <w:numPr>
          <w:ilvl w:val="0"/>
          <w:numId w:val="8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68FEDEB9" w14:textId="77777777" w:rsidR="002820C2" w:rsidRPr="002820C2" w:rsidRDefault="002820C2" w:rsidP="002820C2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14B35466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</w:t>
      </w:r>
    </w:p>
    <w:p w14:paraId="3EB983D4" w14:textId="77777777" w:rsidR="002820C2" w:rsidRPr="002820C2" w:rsidRDefault="002820C2" w:rsidP="002820C2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E032D63" w14:textId="77777777" w:rsidR="002820C2" w:rsidRPr="002820C2" w:rsidRDefault="002820C2" w:rsidP="002820C2">
      <w:pPr>
        <w:numPr>
          <w:ilvl w:val="0"/>
          <w:numId w:val="8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0AF112D9" w14:textId="77777777" w:rsidR="002820C2" w:rsidRPr="002820C2" w:rsidRDefault="002820C2" w:rsidP="002820C2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Wsparcie włączenia dla organizacji jest kwalifikowalne (uprawnione) tylko wtedy, gdy dany uczestnik faktycznie podjął działanie.</w:t>
      </w:r>
    </w:p>
    <w:p w14:paraId="5D6CC740" w14:textId="77777777" w:rsidR="002820C2" w:rsidRPr="002820C2" w:rsidRDefault="002820C2" w:rsidP="002820C2">
      <w:pPr>
        <w:numPr>
          <w:ilvl w:val="0"/>
          <w:numId w:val="8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3124D9D6" w14:textId="77777777" w:rsidR="002820C2" w:rsidRPr="002820C2" w:rsidRDefault="002820C2" w:rsidP="002820C2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lastRenderedPageBreak/>
        <w:t>Dokumentami potwierdzającymi są te same dokumenty potwierdzające, które są wymagane w przypadku podróży (zob. sekcja 1.1.c).</w:t>
      </w:r>
    </w:p>
    <w:p w14:paraId="6DC5BCAF" w14:textId="77777777" w:rsidR="002820C2" w:rsidRPr="002820C2" w:rsidRDefault="002820C2" w:rsidP="002820C2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bCs/>
          <w:kern w:val="0"/>
          <w:shd w:val="clear" w:color="auto" w:fill="00FFFF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14:paraId="55E46C86" w14:textId="77777777" w:rsidR="002820C2" w:rsidRPr="002820C2" w:rsidRDefault="002820C2" w:rsidP="002820C2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1.8 Wsparcie językowe</w:t>
      </w:r>
      <w:r w:rsidRPr="002820C2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 xml:space="preserve"> </w:t>
      </w:r>
    </w:p>
    <w:p w14:paraId="372440B3" w14:textId="77777777" w:rsidR="002820C2" w:rsidRPr="002820C2" w:rsidRDefault="002820C2" w:rsidP="002820C2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4D2DBB6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otrzymujących wsparcie językowe przez mający zastosowanie wkład jednostkowy, jak określono w załączniku 3 do umowy.</w:t>
      </w:r>
    </w:p>
    <w:p w14:paraId="28438FF0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Uczestników, którzy skorzystali ze wsparcia językowego online (OLS), nie uwzględnia się na potrzeby tego obliczenia. Jeżeli wynik oceny OLS wskazuje, że poziom uczestnika w wymaganym języku nie jest objęty systemem OLS, wynik ten zostanie uznany za wystarczające uzasadnienie wniosku o wkład jednostkowy wsparcia językowego, jak określono w „Przewodniku po programie”.</w:t>
      </w:r>
    </w:p>
    <w:p w14:paraId="42F5B438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Osoby uczące się w ramach mobilności długoterminowej otrzymają dalsze (dodatkowe) wsparcie językowe odpowiadające temu samemu wkładowi jednostkowemu określonemu w załączniku 3 do umowy.</w:t>
      </w:r>
    </w:p>
    <w:p w14:paraId="670F8D80" w14:textId="77777777" w:rsidR="002820C2" w:rsidRPr="002820C2" w:rsidRDefault="002820C2" w:rsidP="002820C2">
      <w:pPr>
        <w:numPr>
          <w:ilvl w:val="0"/>
          <w:numId w:val="6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5AB45A70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jest kwalifikowalny (uprawniony) wtedy, gdy dany uczestnik faktycznie otrzymał wsparcie w zakresie nauki języka.</w:t>
      </w:r>
    </w:p>
    <w:p w14:paraId="53FE6CF4" w14:textId="77777777" w:rsidR="002820C2" w:rsidRPr="002820C2" w:rsidRDefault="002820C2" w:rsidP="002820C2">
      <w:pPr>
        <w:numPr>
          <w:ilvl w:val="0"/>
          <w:numId w:val="6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62A6A68E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oświadczenie lub świadectwo podpisane przez organizatora kursu, w którym wyszczególniono imię i nazwisko uczestnika, nauczany język, format i czas trwania kursu lub, w przypadku gdy szkolenie językowe zapewnia organizacja wysyłająca lub przyjmująca: oświadczenie opatrzone podpisem i datą przez organizację zapewniającą szkolenie, w którym wyszczególniono imię i nazwisko uczestnika, nauczany język oraz format i czas trwania szkolenia językowego.</w:t>
      </w:r>
    </w:p>
    <w:p w14:paraId="2E506E3A" w14:textId="77777777" w:rsidR="002820C2" w:rsidRPr="002820C2" w:rsidRDefault="002820C2" w:rsidP="002820C2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5EA17C56" w14:textId="77777777" w:rsidR="002820C2" w:rsidRPr="002820C2" w:rsidRDefault="002820C2" w:rsidP="002820C2">
      <w:pPr>
        <w:suppressAutoHyphens/>
        <w:spacing w:line="276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Beneficjent musi zgłosić liczbę uczestników, którzy skorzystali ze wsparcia językowego i OLS.</w:t>
      </w:r>
    </w:p>
    <w:p w14:paraId="742BE434" w14:textId="77777777" w:rsidR="002820C2" w:rsidRPr="002820C2" w:rsidRDefault="002820C2" w:rsidP="002820C2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1.9 Opłata za udział w kursie</w:t>
      </w:r>
    </w:p>
    <w:p w14:paraId="52DE8D7C" w14:textId="77777777" w:rsidR="002820C2" w:rsidRPr="002820C2" w:rsidRDefault="002820C2" w:rsidP="002820C2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3EE6ABC8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dni danego kursu lub szkolenia przez mający zastosowanie wkład jednostkowy, jak określono w załączniku 3 do umowy. Przy 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obliczaniu dotacji na opłaty za kurs uwzględnia się jedynie rzeczywistą liczbę dni, w których faktycznie odbywają się zajęcia edukacyjne.</w:t>
      </w:r>
    </w:p>
    <w:p w14:paraId="3258FA6A" w14:textId="77777777" w:rsidR="002820C2" w:rsidRPr="002820C2" w:rsidRDefault="002820C2" w:rsidP="002820C2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1A8B776C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na pokrycie opłat za kurs jest kwalifikowalny (uprawniony)  w przypadku, gdy dany uczestnik faktycznie uczestniczył w kursie lub szkoleniu wymagającym uiszczenia opłaty.</w:t>
      </w:r>
    </w:p>
    <w:p w14:paraId="73712593" w14:textId="77777777" w:rsidR="002820C2" w:rsidRPr="002820C2" w:rsidRDefault="002820C2" w:rsidP="002820C2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56BB7335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Dokumentem potwierdzającym jest faktura lub inne wydane i podpisane przez organizatora kursu lub szkolenia zaświadczenie, w którym wyszczególniono imię i nazwisko uczestnika, nazwę odbytego kursu lub szkolenia oraz daty rozpoczęcia i zakończenia udziału uczestnika.</w:t>
      </w:r>
    </w:p>
    <w:p w14:paraId="703FAD5D" w14:textId="77777777" w:rsidR="002820C2" w:rsidRPr="002820C2" w:rsidRDefault="002820C2" w:rsidP="002820C2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1.10 Wizyty przygotowawcze</w:t>
      </w:r>
    </w:p>
    <w:p w14:paraId="55EAC551" w14:textId="77777777" w:rsidR="002820C2" w:rsidRPr="002820C2" w:rsidRDefault="002820C2" w:rsidP="002820C2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14:paraId="2AA08A12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14:paraId="6BDD9F9D" w14:textId="77777777" w:rsidR="002820C2" w:rsidRPr="002820C2" w:rsidRDefault="002820C2" w:rsidP="002820C2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0414A63" w14:textId="77777777" w:rsidR="002820C2" w:rsidRPr="002820C2" w:rsidRDefault="002820C2" w:rsidP="002820C2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53CF97A6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na wizytę przygotowawczą jest kwalifikowalny (uprawniony), gdy dany uczestnik faktycznie wziął udział w wizycie przygotowawczej.</w:t>
      </w:r>
    </w:p>
    <w:p w14:paraId="5DF9936B" w14:textId="77777777" w:rsidR="002820C2" w:rsidRPr="002820C2" w:rsidRDefault="002820C2" w:rsidP="002820C2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4A996116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Dokumentem potwierdzającym jest wypełniony program spotkania zawierający imiona i nazwiska osób przyjeżdżających, podpisany przez osoby przyjeżdżające i organizację przyjmującą. </w:t>
      </w:r>
    </w:p>
    <w:p w14:paraId="792E7470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635D8AA" w14:textId="77777777" w:rsidR="002820C2" w:rsidRPr="002820C2" w:rsidRDefault="002820C2" w:rsidP="002820C2">
      <w:pPr>
        <w:keepNext/>
        <w:keepLines/>
        <w:numPr>
          <w:ilvl w:val="0"/>
          <w:numId w:val="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5AC59B7E" w14:textId="77777777" w:rsidR="002820C2" w:rsidRPr="002820C2" w:rsidRDefault="002820C2" w:rsidP="002820C2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69EB1147" w14:textId="77777777" w:rsidR="002820C2" w:rsidRPr="002820C2" w:rsidRDefault="002820C2" w:rsidP="002820C2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7A02CF32" w14:textId="77777777" w:rsidR="002820C2" w:rsidRPr="002820C2" w:rsidRDefault="002820C2" w:rsidP="002820C2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58D39B69" w14:textId="77777777" w:rsidR="002820C2" w:rsidRPr="002820C2" w:rsidRDefault="002820C2" w:rsidP="002820C2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48FDFADD" w14:textId="77777777" w:rsidR="002820C2" w:rsidRPr="002820C2" w:rsidRDefault="002820C2" w:rsidP="002820C2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>Koszty kwalifikowalne są to 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14:paraId="528DC374" w14:textId="77777777" w:rsidR="002820C2" w:rsidRPr="002820C2" w:rsidRDefault="002820C2" w:rsidP="002820C2">
      <w:pPr>
        <w:tabs>
          <w:tab w:val="left" w:pos="709"/>
        </w:tabs>
        <w:suppressAutoHyphens/>
        <w:spacing w:line="276" w:lineRule="auto"/>
        <w:ind w:left="36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u w:val="single"/>
          <w14:ligatures w14:val="none"/>
        </w:rPr>
        <w:t>c) Dokumenty potwierdzające</w:t>
      </w:r>
      <w:r w:rsidRPr="002820C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:</w:t>
      </w:r>
      <w:r w:rsidRPr="002820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3902ACF" w14:textId="77777777" w:rsidR="002820C2" w:rsidRPr="002820C2" w:rsidRDefault="002820C2" w:rsidP="002820C2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Arial"/>
          <w:kern w:val="0"/>
          <w:szCs w:val="22"/>
          <w14:ligatures w14:val="none"/>
        </w:rPr>
        <w:lastRenderedPageBreak/>
        <w:t>faktury stanowiące dowód pokrycia powiązanych kosztów, w których to fakturach wyszczególniono nazwę i adres podmiotu wystawiającego fakturę, kwotę i walutę, datę wystawienia faktury, oraz, w  stosownych przypadkach, dokumentacja podpisana przez organizację przyjmującą określająca potwierdzoną datę rozpoczęcia i zakończenia pobytu osoby towarzyszącej.</w:t>
      </w:r>
    </w:p>
    <w:p w14:paraId="6CC70FBA" w14:textId="77777777" w:rsidR="002820C2" w:rsidRPr="002820C2" w:rsidRDefault="002820C2" w:rsidP="002820C2">
      <w:pPr>
        <w:numPr>
          <w:ilvl w:val="0"/>
          <w:numId w:val="10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BB34C2E" w14:textId="77777777" w:rsidR="002820C2" w:rsidRPr="002820C2" w:rsidRDefault="002820C2" w:rsidP="002820C2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charakter kosztów i rzeczywistą kwotę poniesionych kosztów. </w:t>
      </w:r>
    </w:p>
    <w:p w14:paraId="187E530F" w14:textId="77777777" w:rsidR="002820C2" w:rsidRPr="002820C2" w:rsidRDefault="002820C2" w:rsidP="002820C2">
      <w:pPr>
        <w:keepNext/>
        <w:keepLines/>
        <w:numPr>
          <w:ilvl w:val="1"/>
          <w:numId w:val="1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2820C2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414531D4" w14:textId="77777777" w:rsidR="002820C2" w:rsidRPr="002820C2" w:rsidRDefault="002820C2" w:rsidP="002820C2">
      <w:pPr>
        <w:numPr>
          <w:ilvl w:val="0"/>
          <w:numId w:val="1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16956184" w14:textId="77777777" w:rsidR="002820C2" w:rsidRPr="002820C2" w:rsidRDefault="002820C2" w:rsidP="002820C2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14:paraId="7BCAD413" w14:textId="77777777" w:rsidR="002820C2" w:rsidRPr="002820C2" w:rsidRDefault="002820C2" w:rsidP="002820C2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2F36D5EA" w14:textId="77777777" w:rsidR="002820C2" w:rsidRPr="002820C2" w:rsidRDefault="002820C2" w:rsidP="002820C2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Gwarancja finansowa: 80% kosztów gwarancji dotyczącej płatności zaliczkowych wniesionych przez beneficjenta, w przypadku, gdy takiej gwarancji wymaga agencja narodowa, jak określono w arkuszu danych (zob. pkt 4).  </w:t>
      </w:r>
    </w:p>
    <w:p w14:paraId="65B932F8" w14:textId="77777777" w:rsidR="002820C2" w:rsidRPr="002820C2" w:rsidRDefault="002820C2" w:rsidP="002820C2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Wysokie koszty podróży: 80% kosztów podróży w najkorzystniejszy ekonomicznie a zarazem efektywny sposób, jeżeli mający zastosowanie wkład jednostkowy nie pokryłby co najmniej 70 % kosztów podróży. Koszty nadzwyczajne związane z wysokimi kosztami podróży zastępują dofinansowanie kosztów podróży. </w:t>
      </w:r>
    </w:p>
    <w:p w14:paraId="0CE54072" w14:textId="77777777" w:rsidR="002820C2" w:rsidRPr="002820C2" w:rsidRDefault="002820C2" w:rsidP="002820C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51E5FB8D" w14:textId="77777777" w:rsidR="002820C2" w:rsidRPr="002820C2" w:rsidRDefault="002820C2" w:rsidP="002820C2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EF03B84" w14:textId="77777777" w:rsidR="002820C2" w:rsidRPr="002820C2" w:rsidRDefault="002820C2" w:rsidP="002820C2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61283B5A" w14:textId="77777777" w:rsidR="002820C2" w:rsidRPr="002820C2" w:rsidRDefault="002820C2" w:rsidP="002820C2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D626D07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 gwarancją finansową, w którym wyszczególniono nazwę i adres podmiotu udzielającego gwarancji, kwotę i walutę gwarancji oraz datę jej udzielenia oraz który opatrzono datą i podpisem przedstawiciela prawnego podmiotu udzielającego gwarancji. </w:t>
      </w:r>
    </w:p>
    <w:p w14:paraId="23FD84A1" w14:textId="77777777" w:rsidR="002820C2" w:rsidRPr="002820C2" w:rsidRDefault="002820C2" w:rsidP="002820C2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FD5DB38" w14:textId="77777777" w:rsidR="002820C2" w:rsidRPr="002820C2" w:rsidRDefault="002820C2" w:rsidP="002820C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W przypadku wysokich kosztów podróży:</w:t>
      </w:r>
      <w:r w:rsidRPr="002820C2">
        <w:rPr>
          <w:rFonts w:ascii="Segoe UI" w:eastAsia="Calibri" w:hAnsi="Segoe UI" w:cs="Segoe UI"/>
          <w:kern w:val="0"/>
          <w:sz w:val="18"/>
          <w:szCs w:val="18"/>
          <w14:ligatures w14:val="none"/>
        </w:rPr>
        <w:t xml:space="preserve"> </w:t>
      </w:r>
      <w:r w:rsidRPr="002820C2">
        <w:rPr>
          <w:rFonts w:ascii="Times New Roman" w:eastAsia="Calibri" w:hAnsi="Times New Roman" w:cs="Times New Roman"/>
          <w:kern w:val="0"/>
          <w14:ligatures w14:val="none"/>
        </w:rPr>
        <w:t xml:space="preserve">dowód opłacenia oraz faktury stanowiące dowód opłacenia powiązanych kosztów, w których to fakturach wyszczególniono nazwę i adres podmiotu wystawiającego fakturę, kwotę i walutę oraz datę wystawienia faktury i trasę podróży </w:t>
      </w:r>
    </w:p>
    <w:p w14:paraId="5A47DF2A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t>W przypadku kosztów wiz i kosztów związanych z otrzymaniem wiz, kosztów zezwoleń na pobyt, szczepień zaświadczeń lekarskich:</w:t>
      </w:r>
      <w:r w:rsidRPr="002820C2"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  <w:t xml:space="preserve"> </w:t>
      </w:r>
      <w:r w:rsidRPr="002820C2">
        <w:rPr>
          <w:rFonts w:ascii="Times New Roman" w:eastAsia="Calibri" w:hAnsi="Times New Roman" w:cs="Times New Roman"/>
          <w:kern w:val="0"/>
          <w14:ligatures w14:val="none"/>
        </w:rPr>
        <w:t>faktury stanowiące dowód opłacenia powiązanych kosztów, w których to fakturach wyszczególniono nazwę i adres podmiotu wystawiającego fakturę, kwotę i walutę oraz datę wystawienia faktury.</w:t>
      </w:r>
    </w:p>
    <w:p w14:paraId="124936B6" w14:textId="77777777" w:rsidR="002820C2" w:rsidRPr="002820C2" w:rsidRDefault="002820C2" w:rsidP="002820C2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2820C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</w:t>
      </w:r>
    </w:p>
    <w:p w14:paraId="75295BAD" w14:textId="77777777" w:rsidR="004C29E0" w:rsidRDefault="004C29E0"/>
    <w:sectPr w:rsidR="004C2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D90B" w14:textId="77777777" w:rsidR="0083152B" w:rsidRDefault="0083152B" w:rsidP="002820C2">
      <w:pPr>
        <w:spacing w:after="0" w:line="240" w:lineRule="auto"/>
      </w:pPr>
      <w:r>
        <w:separator/>
      </w:r>
    </w:p>
  </w:endnote>
  <w:endnote w:type="continuationSeparator" w:id="0">
    <w:p w14:paraId="1320F986" w14:textId="77777777" w:rsidR="0083152B" w:rsidRDefault="0083152B" w:rsidP="0028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53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2E6995F" w14:textId="2C8F3C0E" w:rsidR="002820C2" w:rsidRPr="002820C2" w:rsidRDefault="002820C2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820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20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820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820C2">
          <w:rPr>
            <w:rFonts w:ascii="Times New Roman" w:hAnsi="Times New Roman" w:cs="Times New Roman"/>
            <w:sz w:val="20"/>
            <w:szCs w:val="20"/>
          </w:rPr>
          <w:t>2</w:t>
        </w:r>
        <w:r w:rsidRPr="002820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99BDE3" w14:textId="77777777" w:rsidR="002820C2" w:rsidRDefault="00282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1D7A" w14:textId="77777777" w:rsidR="0083152B" w:rsidRDefault="0083152B" w:rsidP="002820C2">
      <w:pPr>
        <w:spacing w:after="0" w:line="240" w:lineRule="auto"/>
      </w:pPr>
      <w:r>
        <w:separator/>
      </w:r>
    </w:p>
  </w:footnote>
  <w:footnote w:type="continuationSeparator" w:id="0">
    <w:p w14:paraId="6593EE40" w14:textId="77777777" w:rsidR="0083152B" w:rsidRDefault="0083152B" w:rsidP="0028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5AEA4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multilevel"/>
    <w:tmpl w:val="4FD2A66E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0D85E1B"/>
    <w:multiLevelType w:val="hybridMultilevel"/>
    <w:tmpl w:val="614E724C"/>
    <w:lvl w:ilvl="0" w:tplc="464EA4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7302"/>
    <w:multiLevelType w:val="hybridMultilevel"/>
    <w:tmpl w:val="5A9EC702"/>
    <w:lvl w:ilvl="0" w:tplc="2244008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4772"/>
    <w:multiLevelType w:val="hybridMultilevel"/>
    <w:tmpl w:val="8AC2C212"/>
    <w:lvl w:ilvl="0" w:tplc="D782143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174"/>
    <w:multiLevelType w:val="hybridMultilevel"/>
    <w:tmpl w:val="FB9A0088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022E"/>
    <w:multiLevelType w:val="hybridMultilevel"/>
    <w:tmpl w:val="8342F19A"/>
    <w:lvl w:ilvl="0" w:tplc="B3EAC1C4">
      <w:start w:val="4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B2B36"/>
    <w:multiLevelType w:val="hybridMultilevel"/>
    <w:tmpl w:val="986ABF0A"/>
    <w:lvl w:ilvl="0" w:tplc="840640A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10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3281">
    <w:abstractNumId w:val="10"/>
  </w:num>
  <w:num w:numId="2" w16cid:durableId="1541893194">
    <w:abstractNumId w:val="5"/>
  </w:num>
  <w:num w:numId="3" w16cid:durableId="674722243">
    <w:abstractNumId w:val="4"/>
  </w:num>
  <w:num w:numId="4" w16cid:durableId="369376621">
    <w:abstractNumId w:val="7"/>
  </w:num>
  <w:num w:numId="5" w16cid:durableId="853109822">
    <w:abstractNumId w:val="8"/>
  </w:num>
  <w:num w:numId="6" w16cid:durableId="1826824534">
    <w:abstractNumId w:val="0"/>
  </w:num>
  <w:num w:numId="7" w16cid:durableId="130294149">
    <w:abstractNumId w:val="1"/>
  </w:num>
  <w:num w:numId="8" w16cid:durableId="1128469843">
    <w:abstractNumId w:val="9"/>
  </w:num>
  <w:num w:numId="9" w16cid:durableId="1262757149">
    <w:abstractNumId w:val="2"/>
  </w:num>
  <w:num w:numId="10" w16cid:durableId="1968849571">
    <w:abstractNumId w:val="6"/>
  </w:num>
  <w:num w:numId="11" w16cid:durableId="1485514218">
    <w:abstractNumId w:val="3"/>
  </w:num>
  <w:num w:numId="12" w16cid:durableId="703672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C2"/>
    <w:rsid w:val="002820C2"/>
    <w:rsid w:val="004A3641"/>
    <w:rsid w:val="004C29E0"/>
    <w:rsid w:val="0083152B"/>
    <w:rsid w:val="008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C674"/>
  <w15:chartTrackingRefBased/>
  <w15:docId w15:val="{EC1E813B-C71C-4D38-8F93-77DAB7C3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0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0C2"/>
  </w:style>
  <w:style w:type="paragraph" w:styleId="Stopka">
    <w:name w:val="footer"/>
    <w:basedOn w:val="Normalny"/>
    <w:link w:val="StopkaZnak"/>
    <w:uiPriority w:val="99"/>
    <w:unhideWhenUsed/>
    <w:rsid w:val="0028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2066</Words>
  <Characters>12396</Characters>
  <Application>Microsoft Office Word</Application>
  <DocSecurity>0</DocSecurity>
  <Lines>103</Lines>
  <Paragraphs>28</Paragraphs>
  <ScaleCrop>false</ScaleCrop>
  <Company>Fundacja Rozwoju Systemu Edukacji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2026-06-05T08:57:00Z</dcterms:created>
  <dcterms:modified xsi:type="dcterms:W3CDTF">2026-06-05T09:01:00Z</dcterms:modified>
</cp:coreProperties>
</file>